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051EBE60" wp14:editId="077A0D3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092CDA" w:rsidRPr="005B7A73" w:rsidRDefault="00092CDA" w:rsidP="00690206">
      <w:pPr>
        <w:pStyle w:val="FSTitle"/>
        <w:rPr>
          <w:b/>
        </w:rPr>
      </w:pPr>
      <w:r w:rsidRPr="005B7A73">
        <w:rPr>
          <w:b/>
        </w:rPr>
        <w:t>S</w:t>
      </w:r>
      <w:r w:rsidR="00B12F1E" w:rsidRPr="005B7A73">
        <w:rPr>
          <w:b/>
        </w:rPr>
        <w:t xml:space="preserve">upporting </w:t>
      </w:r>
      <w:r w:rsidR="00B12F1E" w:rsidRPr="00722827">
        <w:rPr>
          <w:b/>
        </w:rPr>
        <w:t>document</w:t>
      </w:r>
      <w:r w:rsidRPr="00722827">
        <w:rPr>
          <w:b/>
        </w:rPr>
        <w:t xml:space="preserve"> </w:t>
      </w:r>
      <w:r w:rsidR="0024026E" w:rsidRPr="00722827">
        <w:rPr>
          <w:b/>
        </w:rPr>
        <w:t>2</w:t>
      </w:r>
      <w:r w:rsidR="00722827" w:rsidRPr="00722827">
        <w:rPr>
          <w:b/>
        </w:rPr>
        <w:t xml:space="preserve"> – Assessment of the Application in relation to Specific Policy Principles for the Regulation of Infant Formula Products</w:t>
      </w:r>
    </w:p>
    <w:p w:rsidR="00BA24E2" w:rsidRDefault="00BA24E2" w:rsidP="00E203C2"/>
    <w:p w:rsidR="0024026E" w:rsidRPr="00B86594" w:rsidRDefault="0024026E" w:rsidP="0024026E">
      <w:pPr>
        <w:pStyle w:val="FSTitle"/>
      </w:pPr>
      <w:r w:rsidRPr="00B86594">
        <w:t xml:space="preserve">Approval Report – </w:t>
      </w:r>
      <w:r w:rsidRPr="008E08EE">
        <w:t>Application A1055</w:t>
      </w:r>
    </w:p>
    <w:p w:rsidR="0024026E" w:rsidRPr="00B86594" w:rsidRDefault="0024026E" w:rsidP="0024026E"/>
    <w:p w:rsidR="0024026E" w:rsidRPr="00B86594" w:rsidRDefault="0024026E" w:rsidP="0024026E">
      <w:pPr>
        <w:pStyle w:val="FSTitle"/>
      </w:pPr>
      <w:r w:rsidRPr="008E08EE">
        <w:t xml:space="preserve">Short </w:t>
      </w:r>
      <w:r w:rsidR="00F3111D">
        <w:t>C</w:t>
      </w:r>
      <w:r w:rsidRPr="008E08EE">
        <w:t>hain Fructo-oligosaccharides</w:t>
      </w:r>
    </w:p>
    <w:p w:rsidR="00E203C2" w:rsidRPr="00B37BF0" w:rsidRDefault="00E203C2" w:rsidP="00E203C2">
      <w:pPr>
        <w:pBdr>
          <w:bottom w:val="single" w:sz="12" w:space="1" w:color="auto"/>
        </w:pBdr>
        <w:spacing w:line="280" w:lineRule="exact"/>
        <w:rPr>
          <w:rFonts w:cs="Arial"/>
          <w:bCs/>
        </w:rPr>
      </w:pPr>
    </w:p>
    <w:p w:rsidR="00E203C2" w:rsidRPr="00B37BF0" w:rsidRDefault="00E203C2" w:rsidP="00E203C2"/>
    <w:p w:rsidR="00092CDA" w:rsidRDefault="00092CDA" w:rsidP="00352CF2">
      <w:pPr>
        <w:pStyle w:val="Heading1"/>
        <w:spacing w:before="0"/>
      </w:pPr>
      <w:bookmarkStart w:id="1" w:name="_Toc286391001"/>
      <w:bookmarkStart w:id="2" w:name="_Toc300933414"/>
      <w:r w:rsidRPr="00092CDA">
        <w:t xml:space="preserve">Executive </w:t>
      </w:r>
      <w:r w:rsidR="00B12F1E">
        <w:t>s</w:t>
      </w:r>
      <w:r w:rsidRPr="00092CDA">
        <w:t>ummary</w:t>
      </w:r>
      <w:bookmarkEnd w:id="1"/>
      <w:bookmarkEnd w:id="2"/>
    </w:p>
    <w:p w:rsidR="00092CDA" w:rsidRDefault="00FE2F00" w:rsidP="00690206">
      <w:r>
        <w:rPr>
          <w:lang w:bidi="ar-SA"/>
        </w:rPr>
        <w:t xml:space="preserve">This Supporting document </w:t>
      </w:r>
      <w:r w:rsidR="00645815">
        <w:rPr>
          <w:lang w:eastAsia="en-AU" w:bidi="ar-SA"/>
        </w:rPr>
        <w:t xml:space="preserve">provides a summary of FSANZ’s consideration of this Application against the specific policy principles in the Ministerial Policy Guideline on the Regulation of Infant Formula Products. </w:t>
      </w:r>
    </w:p>
    <w:p w:rsidR="00562917" w:rsidRPr="00352CF2" w:rsidRDefault="00562917" w:rsidP="0024026E">
      <w:pPr>
        <w:rPr>
          <w:b/>
          <w:sz w:val="28"/>
          <w:szCs w:val="28"/>
        </w:rPr>
      </w:pPr>
    </w:p>
    <w:p w:rsidR="00562917" w:rsidRDefault="00562917" w:rsidP="00051ED9"/>
    <w:p w:rsidR="00E066BA" w:rsidRDefault="00E066BA" w:rsidP="00051ED9"/>
    <w:p w:rsidR="00051ED9" w:rsidRDefault="00562917" w:rsidP="00772BDC">
      <w:r w:rsidRPr="00E203C2">
        <w:br w:type="page"/>
      </w:r>
    </w:p>
    <w:p w:rsidR="0024026E" w:rsidRPr="00806280" w:rsidRDefault="0024026E" w:rsidP="0024026E">
      <w:pPr>
        <w:pStyle w:val="Heading2"/>
      </w:pPr>
      <w:bookmarkStart w:id="3" w:name="_Toc341177077"/>
      <w:bookmarkStart w:id="4" w:name="_Toc341429041"/>
      <w:bookmarkStart w:id="5" w:name="_Toc351463770"/>
      <w:r w:rsidRPr="00806280">
        <w:lastRenderedPageBreak/>
        <w:t>Assessment of the Application in relation to the Specific Policy Principles for the Regulation of Infant Formula Products</w:t>
      </w:r>
      <w:bookmarkEnd w:id="3"/>
      <w:bookmarkEnd w:id="4"/>
      <w:bookmarkEnd w:id="5"/>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1"/>
        <w:gridCol w:w="6167"/>
        <w:gridCol w:w="1451"/>
      </w:tblGrid>
      <w:tr w:rsidR="002062BB" w:rsidTr="002062BB">
        <w:trPr>
          <w:cantSplit/>
        </w:trPr>
        <w:tc>
          <w:tcPr>
            <w:tcW w:w="0" w:type="auto"/>
            <w:tcBorders>
              <w:bottom w:val="single" w:sz="4" w:space="0" w:color="auto"/>
            </w:tcBorders>
            <w:shd w:val="clear" w:color="auto" w:fill="EAF1DD" w:themeFill="accent3" w:themeFillTint="33"/>
          </w:tcPr>
          <w:p w:rsidR="002062BB" w:rsidRDefault="002062BB" w:rsidP="002062BB">
            <w:pPr>
              <w:rPr>
                <w:b/>
                <w:i/>
                <w:sz w:val="20"/>
                <w:szCs w:val="20"/>
              </w:rPr>
            </w:pPr>
            <w:r w:rsidRPr="000E7956">
              <w:rPr>
                <w:b/>
                <w:i/>
                <w:sz w:val="20"/>
                <w:szCs w:val="20"/>
              </w:rPr>
              <w:t xml:space="preserve">INFANT FORMULA PRODUCTS </w:t>
            </w:r>
          </w:p>
          <w:p w:rsidR="002062BB" w:rsidRPr="000E7956" w:rsidRDefault="002062BB" w:rsidP="002062BB">
            <w:pPr>
              <w:rPr>
                <w:b/>
                <w:i/>
                <w:sz w:val="20"/>
                <w:szCs w:val="20"/>
              </w:rPr>
            </w:pPr>
          </w:p>
          <w:p w:rsidR="002062BB" w:rsidRPr="002062BB" w:rsidRDefault="002062BB" w:rsidP="002062BB">
            <w:pPr>
              <w:widowControl/>
              <w:rPr>
                <w:i/>
                <w:sz w:val="20"/>
                <w:szCs w:val="20"/>
              </w:rPr>
            </w:pPr>
            <w:r w:rsidRPr="002062BB">
              <w:rPr>
                <w:b/>
                <w:i/>
                <w:sz w:val="20"/>
                <w:szCs w:val="20"/>
              </w:rPr>
              <w:t>Specific Policy Principles – Overarching Principles</w:t>
            </w:r>
          </w:p>
        </w:tc>
        <w:tc>
          <w:tcPr>
            <w:tcW w:w="6167" w:type="dxa"/>
            <w:tcBorders>
              <w:bottom w:val="single" w:sz="4" w:space="0" w:color="auto"/>
            </w:tcBorders>
            <w:shd w:val="clear" w:color="auto" w:fill="EAF1DD" w:themeFill="accent3" w:themeFillTint="33"/>
          </w:tcPr>
          <w:p w:rsidR="002062BB" w:rsidRPr="0024026E" w:rsidRDefault="002062BB" w:rsidP="0024026E">
            <w:pPr>
              <w:rPr>
                <w:sz w:val="20"/>
                <w:szCs w:val="20"/>
              </w:rPr>
            </w:pPr>
            <w:r w:rsidRPr="000E7956">
              <w:rPr>
                <w:b/>
                <w:i/>
                <w:sz w:val="20"/>
                <w:szCs w:val="20"/>
              </w:rPr>
              <w:t>Approach</w:t>
            </w:r>
          </w:p>
        </w:tc>
        <w:tc>
          <w:tcPr>
            <w:tcW w:w="1451" w:type="dxa"/>
            <w:tcBorders>
              <w:bottom w:val="single" w:sz="4" w:space="0" w:color="auto"/>
            </w:tcBorders>
            <w:shd w:val="clear" w:color="auto" w:fill="EAF1DD" w:themeFill="accent3" w:themeFillTint="33"/>
          </w:tcPr>
          <w:p w:rsidR="002062BB" w:rsidRPr="00C64233" w:rsidRDefault="002062BB" w:rsidP="00BF4BF6">
            <w:r w:rsidRPr="000E7956">
              <w:rPr>
                <w:b/>
                <w:i/>
                <w:sz w:val="20"/>
                <w:szCs w:val="20"/>
              </w:rPr>
              <w:t>Does the assessment meet the Policy Principles</w:t>
            </w:r>
          </w:p>
        </w:tc>
      </w:tr>
      <w:tr w:rsidR="0024026E" w:rsidTr="002062BB">
        <w:trPr>
          <w:cantSplit/>
        </w:trPr>
        <w:tc>
          <w:tcPr>
            <w:tcW w:w="0" w:type="auto"/>
            <w:tcBorders>
              <w:bottom w:val="single" w:sz="4" w:space="0" w:color="auto"/>
            </w:tcBorders>
          </w:tcPr>
          <w:p w:rsidR="0024026E" w:rsidRPr="0024026E" w:rsidRDefault="0024026E" w:rsidP="0024026E">
            <w:pPr>
              <w:pStyle w:val="ListParagraph"/>
              <w:widowControl/>
              <w:numPr>
                <w:ilvl w:val="0"/>
                <w:numId w:val="5"/>
              </w:numPr>
              <w:rPr>
                <w:i/>
                <w:sz w:val="20"/>
                <w:szCs w:val="20"/>
              </w:rPr>
            </w:pPr>
            <w:r w:rsidRPr="0024026E">
              <w:rPr>
                <w:i/>
                <w:sz w:val="20"/>
                <w:szCs w:val="20"/>
              </w:rPr>
              <w:t>The regulation of infant formula products should recognise that breastfeeding is the normal and recommended way to feed an infant</w:t>
            </w:r>
          </w:p>
        </w:tc>
        <w:tc>
          <w:tcPr>
            <w:tcW w:w="6167" w:type="dxa"/>
            <w:tcBorders>
              <w:bottom w:val="single" w:sz="4" w:space="0" w:color="auto"/>
            </w:tcBorders>
          </w:tcPr>
          <w:p w:rsidR="0024026E" w:rsidRPr="0024026E" w:rsidRDefault="0024026E" w:rsidP="0024026E">
            <w:pPr>
              <w:rPr>
                <w:sz w:val="20"/>
                <w:szCs w:val="20"/>
              </w:rPr>
            </w:pPr>
            <w:r w:rsidRPr="0024026E">
              <w:rPr>
                <w:sz w:val="20"/>
                <w:szCs w:val="20"/>
              </w:rPr>
              <w:t>FSANZ acknowledges that breastfeeding is t</w:t>
            </w:r>
            <w:r>
              <w:rPr>
                <w:sz w:val="20"/>
                <w:szCs w:val="20"/>
              </w:rPr>
              <w:t xml:space="preserve">he recommended way </w:t>
            </w:r>
            <w:r w:rsidRPr="0024026E">
              <w:rPr>
                <w:sz w:val="20"/>
                <w:szCs w:val="20"/>
              </w:rPr>
              <w:t xml:space="preserve">to feed an infant. </w:t>
            </w:r>
          </w:p>
        </w:tc>
        <w:tc>
          <w:tcPr>
            <w:tcW w:w="1451" w:type="dxa"/>
            <w:tcBorders>
              <w:bottom w:val="single" w:sz="4" w:space="0" w:color="auto"/>
            </w:tcBorders>
            <w:shd w:val="clear" w:color="auto" w:fill="D9D9D9" w:themeFill="background1" w:themeFillShade="D9"/>
          </w:tcPr>
          <w:p w:rsidR="0024026E" w:rsidRPr="00C64233" w:rsidRDefault="0024026E" w:rsidP="00BF4BF6"/>
        </w:tc>
      </w:tr>
    </w:tbl>
    <w:tbl>
      <w:tblPr>
        <w:tblStyle w:val="TableGrid"/>
        <w:tblW w:w="14459" w:type="dxa"/>
        <w:tblLook w:val="04A0" w:firstRow="1" w:lastRow="0" w:firstColumn="1" w:lastColumn="0" w:noHBand="0" w:noVBand="1"/>
      </w:tblPr>
      <w:tblGrid>
        <w:gridCol w:w="6841"/>
        <w:gridCol w:w="6167"/>
        <w:gridCol w:w="1451"/>
      </w:tblGrid>
      <w:tr w:rsidR="0024026E" w:rsidTr="002062BB">
        <w:trPr>
          <w:cantSplit/>
        </w:trPr>
        <w:tc>
          <w:tcPr>
            <w:tcW w:w="0" w:type="auto"/>
            <w:tcBorders>
              <w:top w:val="single" w:sz="4" w:space="0" w:color="auto"/>
            </w:tcBorders>
          </w:tcPr>
          <w:p w:rsidR="0024026E" w:rsidRPr="000E7956" w:rsidRDefault="0024026E" w:rsidP="0024026E">
            <w:pPr>
              <w:pStyle w:val="ListParagraph"/>
              <w:widowControl/>
              <w:numPr>
                <w:ilvl w:val="0"/>
                <w:numId w:val="5"/>
              </w:numPr>
              <w:rPr>
                <w:i/>
                <w:sz w:val="20"/>
                <w:szCs w:val="20"/>
              </w:rPr>
            </w:pPr>
            <w:r w:rsidRPr="000E7956">
              <w:rPr>
                <w:i/>
                <w:sz w:val="20"/>
                <w:szCs w:val="20"/>
              </w:rPr>
              <w:t>The regulation of infant formula products should not be inconsistent with the national nutrition policies and guidelines of Australia and New Zealand that are relevant to infant feeding</w:t>
            </w:r>
          </w:p>
        </w:tc>
        <w:tc>
          <w:tcPr>
            <w:tcW w:w="6167" w:type="dxa"/>
            <w:tcBorders>
              <w:top w:val="single" w:sz="4" w:space="0" w:color="auto"/>
            </w:tcBorders>
          </w:tcPr>
          <w:p w:rsidR="0024026E" w:rsidRPr="000E7956" w:rsidRDefault="0024026E" w:rsidP="00BF4BF6">
            <w:pPr>
              <w:rPr>
                <w:sz w:val="20"/>
                <w:szCs w:val="20"/>
              </w:rPr>
            </w:pPr>
            <w:r w:rsidRPr="000E7956">
              <w:rPr>
                <w:sz w:val="20"/>
                <w:szCs w:val="20"/>
              </w:rPr>
              <w:t xml:space="preserve">Not relevant to this </w:t>
            </w:r>
            <w:r w:rsidR="00306F2F" w:rsidRPr="000E7956">
              <w:rPr>
                <w:sz w:val="20"/>
                <w:szCs w:val="20"/>
              </w:rPr>
              <w:t>Application</w:t>
            </w:r>
            <w:r w:rsidRPr="000E7956">
              <w:rPr>
                <w:sz w:val="20"/>
                <w:szCs w:val="20"/>
              </w:rPr>
              <w:t xml:space="preserve">. </w:t>
            </w:r>
          </w:p>
          <w:p w:rsidR="0024026E" w:rsidRPr="000E7956" w:rsidRDefault="0024026E" w:rsidP="00BF4BF6">
            <w:pPr>
              <w:rPr>
                <w:i/>
                <w:sz w:val="20"/>
                <w:szCs w:val="20"/>
              </w:rPr>
            </w:pPr>
          </w:p>
        </w:tc>
        <w:tc>
          <w:tcPr>
            <w:tcW w:w="1451" w:type="dxa"/>
            <w:tcBorders>
              <w:top w:val="single" w:sz="4" w:space="0" w:color="auto"/>
            </w:tcBorders>
          </w:tcPr>
          <w:p w:rsidR="0024026E" w:rsidRPr="000E7956" w:rsidRDefault="0024026E" w:rsidP="00BF4BF6">
            <w:pPr>
              <w:rPr>
                <w:sz w:val="20"/>
                <w:szCs w:val="20"/>
              </w:rPr>
            </w:pPr>
            <w:r w:rsidRPr="000E7956">
              <w:rPr>
                <w:sz w:val="20"/>
                <w:szCs w:val="20"/>
              </w:rPr>
              <w:t>Not applicable</w:t>
            </w:r>
          </w:p>
        </w:tc>
      </w:tr>
      <w:tr w:rsidR="0024026E" w:rsidTr="00BF4BF6">
        <w:trPr>
          <w:cantSplit/>
        </w:trPr>
        <w:tc>
          <w:tcPr>
            <w:tcW w:w="0" w:type="auto"/>
          </w:tcPr>
          <w:p w:rsidR="0024026E" w:rsidRPr="000E7956" w:rsidRDefault="0024026E" w:rsidP="00306F2F">
            <w:pPr>
              <w:pStyle w:val="ListParagraph"/>
              <w:widowControl/>
              <w:numPr>
                <w:ilvl w:val="0"/>
                <w:numId w:val="5"/>
              </w:numPr>
              <w:rPr>
                <w:i/>
                <w:sz w:val="20"/>
                <w:szCs w:val="20"/>
              </w:rPr>
            </w:pPr>
            <w:r w:rsidRPr="000E7956">
              <w:rPr>
                <w:i/>
                <w:sz w:val="20"/>
                <w:szCs w:val="20"/>
              </w:rPr>
              <w:t>The regulation of infant formula products should be based on risk analysis, taking into account the vulnerability of the population for whom they are intended and the importance of these products in the diets of formula</w:t>
            </w:r>
            <w:r w:rsidR="00306F2F">
              <w:rPr>
                <w:i/>
                <w:sz w:val="20"/>
                <w:szCs w:val="20"/>
              </w:rPr>
              <w:t>-</w:t>
            </w:r>
            <w:r w:rsidRPr="000E7956">
              <w:rPr>
                <w:i/>
                <w:sz w:val="20"/>
                <w:szCs w:val="20"/>
              </w:rPr>
              <w:t xml:space="preserve">fed infants. </w:t>
            </w:r>
          </w:p>
        </w:tc>
        <w:tc>
          <w:tcPr>
            <w:tcW w:w="6167" w:type="dxa"/>
          </w:tcPr>
          <w:p w:rsidR="00CA24DC" w:rsidRDefault="0024026E" w:rsidP="00CA24DC">
            <w:pPr>
              <w:rPr>
                <w:sz w:val="20"/>
                <w:szCs w:val="20"/>
                <w:lang w:eastAsia="en-AU"/>
              </w:rPr>
            </w:pPr>
            <w:r w:rsidRPr="000E7956">
              <w:rPr>
                <w:sz w:val="20"/>
                <w:szCs w:val="20"/>
              </w:rPr>
              <w:t xml:space="preserve">FSANZ assessed the </w:t>
            </w:r>
            <w:r>
              <w:rPr>
                <w:sz w:val="20"/>
                <w:szCs w:val="20"/>
              </w:rPr>
              <w:t>A</w:t>
            </w:r>
            <w:r w:rsidRPr="000E7956">
              <w:rPr>
                <w:sz w:val="20"/>
                <w:szCs w:val="20"/>
              </w:rPr>
              <w:t xml:space="preserve">pplication using </w:t>
            </w:r>
            <w:r>
              <w:rPr>
                <w:sz w:val="20"/>
                <w:szCs w:val="20"/>
              </w:rPr>
              <w:t xml:space="preserve">a </w:t>
            </w:r>
            <w:r w:rsidRPr="000E7956">
              <w:rPr>
                <w:sz w:val="20"/>
                <w:szCs w:val="20"/>
              </w:rPr>
              <w:t>risk analysis</w:t>
            </w:r>
            <w:r>
              <w:rPr>
                <w:sz w:val="20"/>
                <w:szCs w:val="20"/>
              </w:rPr>
              <w:t xml:space="preserve"> approach</w:t>
            </w:r>
            <w:r w:rsidRPr="000E7956">
              <w:rPr>
                <w:sz w:val="20"/>
                <w:szCs w:val="20"/>
              </w:rPr>
              <w:t xml:space="preserve">. The risk </w:t>
            </w:r>
            <w:r w:rsidR="00306F2F">
              <w:rPr>
                <w:sz w:val="20"/>
                <w:szCs w:val="20"/>
              </w:rPr>
              <w:t xml:space="preserve">and technical </w:t>
            </w:r>
            <w:r w:rsidRPr="000E7956">
              <w:rPr>
                <w:sz w:val="20"/>
                <w:szCs w:val="20"/>
              </w:rPr>
              <w:t xml:space="preserve">assessment considered the safety, functional effects and benefits of the optional addition of short chain FOS to infant formula products. </w:t>
            </w:r>
            <w:r w:rsidR="00CA24DC">
              <w:rPr>
                <w:sz w:val="20"/>
                <w:szCs w:val="20"/>
              </w:rPr>
              <w:t xml:space="preserve">The chemical specifications for short chain FOS were also considered, and cover short chain </w:t>
            </w:r>
            <w:proofErr w:type="spellStart"/>
            <w:r w:rsidR="00CA24DC" w:rsidRPr="000E7956">
              <w:rPr>
                <w:sz w:val="20"/>
                <w:szCs w:val="20"/>
                <w:lang w:eastAsia="en-AU" w:bidi="ar-SA"/>
              </w:rPr>
              <w:t>FOS</w:t>
            </w:r>
            <w:r w:rsidR="00CA24DC" w:rsidRPr="000E7956">
              <w:rPr>
                <w:sz w:val="20"/>
                <w:szCs w:val="20"/>
                <w:vertAlign w:val="subscript"/>
                <w:lang w:eastAsia="en-AU"/>
              </w:rPr>
              <w:t>sucrose</w:t>
            </w:r>
            <w:proofErr w:type="spellEnd"/>
            <w:r w:rsidR="00CA24DC" w:rsidRPr="000E7956">
              <w:rPr>
                <w:sz w:val="20"/>
                <w:szCs w:val="20"/>
              </w:rPr>
              <w:t xml:space="preserve"> </w:t>
            </w:r>
            <w:r w:rsidR="00CA24DC">
              <w:rPr>
                <w:sz w:val="20"/>
                <w:szCs w:val="20"/>
              </w:rPr>
              <w:t xml:space="preserve">and </w:t>
            </w:r>
            <w:r w:rsidR="00CA24DC">
              <w:rPr>
                <w:sz w:val="20"/>
                <w:szCs w:val="20"/>
                <w:lang w:eastAsia="en-AU"/>
              </w:rPr>
              <w:t xml:space="preserve">short chain </w:t>
            </w:r>
            <w:proofErr w:type="spellStart"/>
            <w:r w:rsidR="00CA24DC" w:rsidRPr="000E7956">
              <w:rPr>
                <w:sz w:val="20"/>
                <w:szCs w:val="20"/>
                <w:lang w:eastAsia="en-AU"/>
              </w:rPr>
              <w:t>FOS</w:t>
            </w:r>
            <w:r w:rsidR="00CA24DC" w:rsidRPr="000E7956">
              <w:rPr>
                <w:sz w:val="20"/>
                <w:szCs w:val="20"/>
                <w:vertAlign w:val="subscript"/>
                <w:lang w:eastAsia="en-AU"/>
              </w:rPr>
              <w:t>inulin</w:t>
            </w:r>
            <w:proofErr w:type="spellEnd"/>
            <w:r w:rsidR="00CA24DC" w:rsidRPr="000E7956">
              <w:rPr>
                <w:sz w:val="20"/>
                <w:szCs w:val="20"/>
                <w:lang w:eastAsia="en-AU"/>
              </w:rPr>
              <w:t xml:space="preserve"> </w:t>
            </w:r>
            <w:r w:rsidR="00CA24DC">
              <w:rPr>
                <w:sz w:val="20"/>
                <w:szCs w:val="20"/>
                <w:lang w:eastAsia="en-AU"/>
              </w:rPr>
              <w:t>because they are functionally equivalent</w:t>
            </w:r>
            <w:r w:rsidR="00CA24DC" w:rsidRPr="000E7956">
              <w:rPr>
                <w:sz w:val="20"/>
                <w:szCs w:val="20"/>
                <w:lang w:eastAsia="en-AU"/>
              </w:rPr>
              <w:t xml:space="preserve"> in the gut.</w:t>
            </w:r>
          </w:p>
          <w:p w:rsidR="00CA24DC" w:rsidRDefault="00CA24DC" w:rsidP="00306F2F">
            <w:pPr>
              <w:rPr>
                <w:sz w:val="20"/>
                <w:szCs w:val="20"/>
              </w:rPr>
            </w:pPr>
          </w:p>
          <w:p w:rsidR="0024026E" w:rsidRPr="000E7956" w:rsidRDefault="0024026E" w:rsidP="00306F2F">
            <w:pPr>
              <w:rPr>
                <w:i/>
                <w:sz w:val="20"/>
                <w:szCs w:val="20"/>
              </w:rPr>
            </w:pPr>
            <w:r w:rsidRPr="000E7956">
              <w:rPr>
                <w:sz w:val="20"/>
                <w:szCs w:val="20"/>
              </w:rPr>
              <w:t xml:space="preserve">The </w:t>
            </w:r>
            <w:r w:rsidR="00306F2F">
              <w:rPr>
                <w:sz w:val="20"/>
                <w:szCs w:val="20"/>
              </w:rPr>
              <w:t xml:space="preserve">risk management considered the </w:t>
            </w:r>
            <w:r w:rsidRPr="000E7956">
              <w:rPr>
                <w:sz w:val="20"/>
                <w:szCs w:val="20"/>
              </w:rPr>
              <w:t>vulnerability of the intended population</w:t>
            </w:r>
            <w:r>
              <w:rPr>
                <w:sz w:val="20"/>
                <w:szCs w:val="20"/>
              </w:rPr>
              <w:t xml:space="preserve"> (i.e. formula-fed infants)</w:t>
            </w:r>
            <w:r w:rsidRPr="000E7956">
              <w:rPr>
                <w:sz w:val="20"/>
                <w:szCs w:val="20"/>
              </w:rPr>
              <w:t xml:space="preserve">. </w:t>
            </w:r>
          </w:p>
        </w:tc>
        <w:tc>
          <w:tcPr>
            <w:tcW w:w="1451" w:type="dxa"/>
          </w:tcPr>
          <w:p w:rsidR="0024026E" w:rsidRPr="000E7956" w:rsidRDefault="0024026E" w:rsidP="00BF4BF6">
            <w:pPr>
              <w:rPr>
                <w:sz w:val="20"/>
                <w:szCs w:val="20"/>
              </w:rPr>
            </w:pPr>
            <w:r w:rsidRPr="000E7956">
              <w:rPr>
                <w:sz w:val="20"/>
                <w:szCs w:val="20"/>
              </w:rPr>
              <w:t xml:space="preserve">Yes </w:t>
            </w:r>
          </w:p>
        </w:tc>
      </w:tr>
      <w:tr w:rsidR="0024026E" w:rsidRPr="00841F7D" w:rsidTr="00BF4BF6">
        <w:trPr>
          <w:cantSplit/>
        </w:trPr>
        <w:tc>
          <w:tcPr>
            <w:tcW w:w="0" w:type="auto"/>
          </w:tcPr>
          <w:p w:rsidR="0024026E" w:rsidRPr="000E7956" w:rsidRDefault="0024026E" w:rsidP="00306F2F">
            <w:pPr>
              <w:pStyle w:val="ListParagraph"/>
              <w:ind w:left="360"/>
              <w:rPr>
                <w:b/>
                <w:i/>
                <w:sz w:val="20"/>
                <w:szCs w:val="20"/>
              </w:rPr>
            </w:pPr>
            <w:r w:rsidRPr="000E7956">
              <w:rPr>
                <w:b/>
                <w:i/>
                <w:sz w:val="20"/>
                <w:szCs w:val="20"/>
              </w:rPr>
              <w:t xml:space="preserve">Specific Policy Principles </w:t>
            </w:r>
            <w:r w:rsidR="00306F2F">
              <w:rPr>
                <w:b/>
                <w:i/>
                <w:sz w:val="20"/>
                <w:szCs w:val="20"/>
              </w:rPr>
              <w:t>–</w:t>
            </w:r>
            <w:r w:rsidR="00306F2F" w:rsidRPr="000E7956">
              <w:rPr>
                <w:b/>
                <w:i/>
                <w:sz w:val="20"/>
                <w:szCs w:val="20"/>
              </w:rPr>
              <w:t xml:space="preserve"> </w:t>
            </w:r>
            <w:r w:rsidRPr="000E7956">
              <w:rPr>
                <w:b/>
                <w:i/>
                <w:sz w:val="20"/>
                <w:szCs w:val="20"/>
              </w:rPr>
              <w:t>Composition</w:t>
            </w:r>
          </w:p>
        </w:tc>
        <w:tc>
          <w:tcPr>
            <w:tcW w:w="6167" w:type="dxa"/>
          </w:tcPr>
          <w:p w:rsidR="0024026E" w:rsidRPr="000E7956" w:rsidRDefault="0024026E" w:rsidP="00BF4BF6">
            <w:pPr>
              <w:ind w:left="720"/>
              <w:rPr>
                <w:b/>
                <w:sz w:val="20"/>
                <w:szCs w:val="20"/>
              </w:rPr>
            </w:pPr>
          </w:p>
        </w:tc>
        <w:tc>
          <w:tcPr>
            <w:tcW w:w="1451" w:type="dxa"/>
          </w:tcPr>
          <w:p w:rsidR="0024026E" w:rsidRPr="000E7956" w:rsidRDefault="0024026E" w:rsidP="00BF4BF6">
            <w:pPr>
              <w:ind w:left="720"/>
              <w:rPr>
                <w:b/>
                <w:sz w:val="20"/>
                <w:szCs w:val="20"/>
              </w:rPr>
            </w:pPr>
          </w:p>
        </w:tc>
      </w:tr>
      <w:tr w:rsidR="0024026E" w:rsidTr="00BF4BF6">
        <w:trPr>
          <w:cantSplit/>
        </w:trPr>
        <w:tc>
          <w:tcPr>
            <w:tcW w:w="0" w:type="auto"/>
          </w:tcPr>
          <w:p w:rsidR="0024026E" w:rsidRPr="000E7956" w:rsidRDefault="0024026E" w:rsidP="0024026E">
            <w:pPr>
              <w:pStyle w:val="ListParagraph"/>
              <w:widowControl/>
              <w:numPr>
                <w:ilvl w:val="0"/>
                <w:numId w:val="5"/>
              </w:numPr>
              <w:rPr>
                <w:i/>
                <w:sz w:val="20"/>
                <w:szCs w:val="20"/>
              </w:rPr>
            </w:pPr>
            <w:r w:rsidRPr="000E7956">
              <w:rPr>
                <w:i/>
                <w:sz w:val="20"/>
                <w:szCs w:val="20"/>
              </w:rPr>
              <w:lastRenderedPageBreak/>
              <w:t>The composition of infant formula must be safe, suitable for the intended use and must strive to achieve as closely as possible the normal growth and development (as measured by appropriate physiological, biochemical and/o</w:t>
            </w:r>
            <w:r w:rsidR="00C471EA">
              <w:rPr>
                <w:i/>
                <w:sz w:val="20"/>
                <w:szCs w:val="20"/>
              </w:rPr>
              <w:t>r</w:t>
            </w:r>
            <w:r w:rsidRPr="000E7956">
              <w:rPr>
                <w:i/>
                <w:sz w:val="20"/>
                <w:szCs w:val="20"/>
              </w:rPr>
              <w:t xml:space="preserve"> functional outcomes) of healthy full term exclusively breastfed infants when infant formula used as the sole source of nutrition up to 6 months of age.</w:t>
            </w:r>
          </w:p>
        </w:tc>
        <w:tc>
          <w:tcPr>
            <w:tcW w:w="6167" w:type="dxa"/>
          </w:tcPr>
          <w:p w:rsidR="0024026E" w:rsidRPr="000E7956" w:rsidRDefault="0024026E" w:rsidP="00BF4BF6">
            <w:pPr>
              <w:rPr>
                <w:sz w:val="20"/>
                <w:szCs w:val="20"/>
              </w:rPr>
            </w:pPr>
            <w:r w:rsidRPr="000E7956">
              <w:rPr>
                <w:sz w:val="20"/>
                <w:szCs w:val="20"/>
              </w:rPr>
              <w:t xml:space="preserve">The risk </w:t>
            </w:r>
            <w:r w:rsidR="00BF4BF6">
              <w:rPr>
                <w:sz w:val="20"/>
                <w:szCs w:val="20"/>
              </w:rPr>
              <w:t xml:space="preserve">and technical </w:t>
            </w:r>
            <w:r w:rsidRPr="000E7956">
              <w:rPr>
                <w:sz w:val="20"/>
                <w:szCs w:val="20"/>
              </w:rPr>
              <w:t>assessment conclude</w:t>
            </w:r>
            <w:r>
              <w:rPr>
                <w:sz w:val="20"/>
                <w:szCs w:val="20"/>
              </w:rPr>
              <w:t>d</w:t>
            </w:r>
            <w:r w:rsidRPr="000E7956">
              <w:rPr>
                <w:sz w:val="20"/>
                <w:szCs w:val="20"/>
              </w:rPr>
              <w:t xml:space="preserve"> that short chain </w:t>
            </w:r>
            <w:proofErr w:type="spellStart"/>
            <w:r w:rsidRPr="000E7956">
              <w:rPr>
                <w:sz w:val="20"/>
                <w:szCs w:val="20"/>
              </w:rPr>
              <w:t>FOS</w:t>
            </w:r>
            <w:r w:rsidRPr="000E7956">
              <w:rPr>
                <w:sz w:val="20"/>
                <w:szCs w:val="20"/>
                <w:vertAlign w:val="subscript"/>
              </w:rPr>
              <w:t>sucrose</w:t>
            </w:r>
            <w:proofErr w:type="spellEnd"/>
            <w:r w:rsidRPr="000E7956">
              <w:rPr>
                <w:sz w:val="20"/>
                <w:szCs w:val="20"/>
              </w:rPr>
              <w:t xml:space="preserve"> is as safe as IDS (including short chain </w:t>
            </w:r>
            <w:proofErr w:type="spellStart"/>
            <w:r w:rsidRPr="000E7956">
              <w:rPr>
                <w:sz w:val="20"/>
                <w:szCs w:val="20"/>
              </w:rPr>
              <w:t>FOS</w:t>
            </w:r>
            <w:r w:rsidRPr="000E7956">
              <w:rPr>
                <w:sz w:val="20"/>
                <w:szCs w:val="20"/>
                <w:vertAlign w:val="subscript"/>
              </w:rPr>
              <w:t>inulin</w:t>
            </w:r>
            <w:proofErr w:type="spellEnd"/>
            <w:r w:rsidRPr="000E7956">
              <w:rPr>
                <w:sz w:val="20"/>
                <w:szCs w:val="20"/>
              </w:rPr>
              <w:t xml:space="preserve">) which </w:t>
            </w:r>
            <w:r w:rsidR="009055AE">
              <w:rPr>
                <w:sz w:val="20"/>
                <w:szCs w:val="20"/>
              </w:rPr>
              <w:t>is</w:t>
            </w:r>
            <w:r w:rsidR="009055AE" w:rsidRPr="000E7956">
              <w:rPr>
                <w:sz w:val="20"/>
                <w:szCs w:val="20"/>
              </w:rPr>
              <w:t xml:space="preserve"> </w:t>
            </w:r>
            <w:r w:rsidRPr="000E7956">
              <w:rPr>
                <w:sz w:val="20"/>
                <w:szCs w:val="20"/>
              </w:rPr>
              <w:t xml:space="preserve">already permitted to be added to infant formula products. </w:t>
            </w:r>
            <w:r w:rsidR="00C471EA">
              <w:rPr>
                <w:sz w:val="20"/>
                <w:szCs w:val="20"/>
              </w:rPr>
              <w:t xml:space="preserve">The </w:t>
            </w:r>
            <w:r w:rsidR="008065F5">
              <w:rPr>
                <w:sz w:val="20"/>
                <w:szCs w:val="20"/>
              </w:rPr>
              <w:t xml:space="preserve">assessment </w:t>
            </w:r>
            <w:r w:rsidR="00C471EA">
              <w:rPr>
                <w:sz w:val="20"/>
                <w:szCs w:val="20"/>
              </w:rPr>
              <w:t xml:space="preserve">also concluded that </w:t>
            </w:r>
            <w:proofErr w:type="spellStart"/>
            <w:r w:rsidR="00C471EA">
              <w:rPr>
                <w:sz w:val="20"/>
                <w:szCs w:val="20"/>
              </w:rPr>
              <w:t>scFOS</w:t>
            </w:r>
            <w:r w:rsidR="008065F5" w:rsidRPr="0059316C">
              <w:rPr>
                <w:sz w:val="20"/>
                <w:szCs w:val="20"/>
                <w:vertAlign w:val="subscript"/>
              </w:rPr>
              <w:t>sucrose</w:t>
            </w:r>
            <w:proofErr w:type="spellEnd"/>
            <w:r w:rsidR="00C471EA">
              <w:rPr>
                <w:sz w:val="20"/>
                <w:szCs w:val="20"/>
              </w:rPr>
              <w:t xml:space="preserve"> is technologically suited to its proposed use, and complies with international specifications. </w:t>
            </w:r>
          </w:p>
          <w:p w:rsidR="0024026E" w:rsidRDefault="0024026E" w:rsidP="00BF4BF6">
            <w:pPr>
              <w:rPr>
                <w:sz w:val="20"/>
                <w:szCs w:val="20"/>
              </w:rPr>
            </w:pPr>
          </w:p>
          <w:p w:rsidR="00261EA0" w:rsidRDefault="00CA24DC" w:rsidP="00261EA0">
            <w:pPr>
              <w:rPr>
                <w:sz w:val="20"/>
                <w:szCs w:val="20"/>
              </w:rPr>
            </w:pPr>
            <w:r>
              <w:rPr>
                <w:sz w:val="20"/>
                <w:szCs w:val="20"/>
              </w:rPr>
              <w:t>The addition of s</w:t>
            </w:r>
            <w:r w:rsidR="00261EA0">
              <w:rPr>
                <w:sz w:val="20"/>
                <w:szCs w:val="20"/>
              </w:rPr>
              <w:t xml:space="preserve">hort chain </w:t>
            </w:r>
            <w:proofErr w:type="spellStart"/>
            <w:r w:rsidR="00D320EC">
              <w:rPr>
                <w:sz w:val="20"/>
                <w:szCs w:val="20"/>
              </w:rPr>
              <w:t>FOS</w:t>
            </w:r>
            <w:r w:rsidR="00D320EC" w:rsidRPr="0059316C">
              <w:rPr>
                <w:sz w:val="20"/>
                <w:szCs w:val="20"/>
                <w:vertAlign w:val="subscript"/>
              </w:rPr>
              <w:t>sucrose</w:t>
            </w:r>
            <w:proofErr w:type="spellEnd"/>
            <w:r w:rsidR="00D320EC">
              <w:rPr>
                <w:sz w:val="20"/>
                <w:szCs w:val="20"/>
              </w:rPr>
              <w:t xml:space="preserve"> to</w:t>
            </w:r>
            <w:r w:rsidR="00261EA0">
              <w:rPr>
                <w:sz w:val="20"/>
                <w:szCs w:val="20"/>
              </w:rPr>
              <w:t xml:space="preserve"> infant formula products </w:t>
            </w:r>
            <w:r>
              <w:rPr>
                <w:sz w:val="20"/>
                <w:szCs w:val="20"/>
              </w:rPr>
              <w:t xml:space="preserve">aims </w:t>
            </w:r>
            <w:r w:rsidR="00261EA0">
              <w:rPr>
                <w:sz w:val="20"/>
                <w:szCs w:val="20"/>
              </w:rPr>
              <w:t xml:space="preserve">to align the stool characteristics of formula fed infants with their breastfed counterparts which are typically softer. The risk and technical assessment concludes that the addition of </w:t>
            </w:r>
            <w:proofErr w:type="spellStart"/>
            <w:r w:rsidR="00261EA0">
              <w:rPr>
                <w:sz w:val="20"/>
                <w:szCs w:val="20"/>
              </w:rPr>
              <w:t>scFOS</w:t>
            </w:r>
            <w:r w:rsidR="00261EA0" w:rsidRPr="00CA24DC">
              <w:rPr>
                <w:sz w:val="20"/>
                <w:szCs w:val="20"/>
                <w:vertAlign w:val="subscript"/>
              </w:rPr>
              <w:t>sucrose</w:t>
            </w:r>
            <w:proofErr w:type="spellEnd"/>
            <w:r w:rsidR="00261EA0">
              <w:rPr>
                <w:sz w:val="20"/>
                <w:szCs w:val="20"/>
              </w:rPr>
              <w:t xml:space="preserve"> has the potential to soften infant stools and may reduce the incidence of constipation. </w:t>
            </w:r>
          </w:p>
          <w:p w:rsidR="00C471EA" w:rsidRPr="000E7956" w:rsidRDefault="00C471EA" w:rsidP="00BF4BF6">
            <w:pPr>
              <w:rPr>
                <w:sz w:val="20"/>
                <w:szCs w:val="20"/>
                <w:lang w:eastAsia="en-AU"/>
              </w:rPr>
            </w:pPr>
          </w:p>
          <w:p w:rsidR="0024026E" w:rsidRPr="000E7956" w:rsidRDefault="0024026E" w:rsidP="00BF4BF6">
            <w:pPr>
              <w:rPr>
                <w:i/>
                <w:sz w:val="20"/>
                <w:szCs w:val="20"/>
              </w:rPr>
            </w:pPr>
            <w:r w:rsidRPr="000E7956">
              <w:rPr>
                <w:sz w:val="20"/>
                <w:szCs w:val="20"/>
              </w:rPr>
              <w:t>The assessment also concluded that t</w:t>
            </w:r>
            <w:r w:rsidRPr="000E7956">
              <w:rPr>
                <w:rFonts w:cs="Arial"/>
                <w:sz w:val="20"/>
                <w:szCs w:val="20"/>
              </w:rPr>
              <w:t>he consumption of short chain FOS-supplemented formula supports normal growth in infants.</w:t>
            </w:r>
          </w:p>
        </w:tc>
        <w:tc>
          <w:tcPr>
            <w:tcW w:w="1451" w:type="dxa"/>
          </w:tcPr>
          <w:p w:rsidR="0024026E" w:rsidRPr="000E7956" w:rsidRDefault="0024026E" w:rsidP="00BF4BF6">
            <w:pPr>
              <w:rPr>
                <w:sz w:val="20"/>
                <w:szCs w:val="20"/>
              </w:rPr>
            </w:pPr>
            <w:r w:rsidRPr="000E7956">
              <w:rPr>
                <w:sz w:val="20"/>
                <w:szCs w:val="20"/>
              </w:rPr>
              <w:t>Yes</w:t>
            </w:r>
          </w:p>
        </w:tc>
      </w:tr>
      <w:tr w:rsidR="0024026E" w:rsidTr="00BF4BF6">
        <w:trPr>
          <w:cantSplit/>
        </w:trPr>
        <w:tc>
          <w:tcPr>
            <w:tcW w:w="0" w:type="auto"/>
          </w:tcPr>
          <w:p w:rsidR="0024026E" w:rsidRPr="000E7956" w:rsidRDefault="0024026E" w:rsidP="0024026E">
            <w:pPr>
              <w:pStyle w:val="ListParagraph"/>
              <w:widowControl/>
              <w:numPr>
                <w:ilvl w:val="0"/>
                <w:numId w:val="5"/>
              </w:numPr>
              <w:rPr>
                <w:i/>
                <w:sz w:val="20"/>
                <w:szCs w:val="20"/>
              </w:rPr>
            </w:pPr>
            <w:r w:rsidRPr="000E7956">
              <w:rPr>
                <w:i/>
                <w:sz w:val="20"/>
                <w:szCs w:val="20"/>
              </w:rPr>
              <w:t xml:space="preserve">The composition of follow on formula must be safe, suitable for the intended use and must strive to achieve as closely as possible the normal growth and development (as measured by appropriate physiological, biochemical and/or functional outcomes) of healthy full term exclusively breastfed infants at the appropriate age when follow-on formula used as the principal source of liquid nourishment in a progressively diversified diet. </w:t>
            </w:r>
          </w:p>
        </w:tc>
        <w:tc>
          <w:tcPr>
            <w:tcW w:w="6167" w:type="dxa"/>
          </w:tcPr>
          <w:p w:rsidR="0024026E" w:rsidRPr="000E7956" w:rsidRDefault="0024026E" w:rsidP="00BF4BF6">
            <w:pPr>
              <w:rPr>
                <w:i/>
                <w:sz w:val="20"/>
                <w:szCs w:val="20"/>
              </w:rPr>
            </w:pPr>
            <w:r w:rsidRPr="000E7956">
              <w:rPr>
                <w:sz w:val="20"/>
                <w:szCs w:val="20"/>
              </w:rPr>
              <w:t>See response for Policy Principle (d)</w:t>
            </w:r>
          </w:p>
        </w:tc>
        <w:tc>
          <w:tcPr>
            <w:tcW w:w="1451" w:type="dxa"/>
          </w:tcPr>
          <w:p w:rsidR="0024026E" w:rsidRPr="000E7956" w:rsidRDefault="0024026E" w:rsidP="00BF4BF6">
            <w:pPr>
              <w:rPr>
                <w:sz w:val="20"/>
                <w:szCs w:val="20"/>
              </w:rPr>
            </w:pPr>
            <w:r w:rsidRPr="000E7956">
              <w:rPr>
                <w:sz w:val="20"/>
                <w:szCs w:val="20"/>
              </w:rPr>
              <w:t>Yes</w:t>
            </w:r>
          </w:p>
        </w:tc>
      </w:tr>
      <w:tr w:rsidR="0024026E" w:rsidTr="00BF4BF6">
        <w:trPr>
          <w:cantSplit/>
        </w:trPr>
        <w:tc>
          <w:tcPr>
            <w:tcW w:w="0" w:type="auto"/>
          </w:tcPr>
          <w:p w:rsidR="0024026E" w:rsidRPr="000E7956" w:rsidRDefault="0024026E" w:rsidP="0024026E">
            <w:pPr>
              <w:pStyle w:val="ListParagraph"/>
              <w:widowControl/>
              <w:numPr>
                <w:ilvl w:val="0"/>
                <w:numId w:val="5"/>
              </w:numPr>
              <w:rPr>
                <w:i/>
                <w:sz w:val="20"/>
                <w:szCs w:val="20"/>
              </w:rPr>
            </w:pPr>
            <w:r w:rsidRPr="000E7956">
              <w:rPr>
                <w:i/>
                <w:sz w:val="20"/>
                <w:szCs w:val="20"/>
              </w:rPr>
              <w:t xml:space="preserve">The essential composition of infant formula and follow-on formula should be prescribed in regulation and must satisfy the nutritional requirements of infants. </w:t>
            </w:r>
          </w:p>
        </w:tc>
        <w:tc>
          <w:tcPr>
            <w:tcW w:w="6167" w:type="dxa"/>
          </w:tcPr>
          <w:p w:rsidR="0024026E" w:rsidRPr="000E7956" w:rsidRDefault="0024026E" w:rsidP="00BF4BF6">
            <w:pPr>
              <w:rPr>
                <w:sz w:val="20"/>
                <w:szCs w:val="20"/>
              </w:rPr>
            </w:pPr>
            <w:r w:rsidRPr="000E7956">
              <w:rPr>
                <w:sz w:val="20"/>
                <w:szCs w:val="20"/>
              </w:rPr>
              <w:t xml:space="preserve">Not </w:t>
            </w:r>
            <w:r>
              <w:rPr>
                <w:sz w:val="20"/>
                <w:szCs w:val="20"/>
              </w:rPr>
              <w:t>applicable</w:t>
            </w:r>
            <w:r w:rsidRPr="000E7956">
              <w:rPr>
                <w:sz w:val="20"/>
                <w:szCs w:val="20"/>
              </w:rPr>
              <w:t xml:space="preserve"> to this </w:t>
            </w:r>
            <w:r w:rsidR="00306F2F" w:rsidRPr="000E7956">
              <w:rPr>
                <w:sz w:val="20"/>
                <w:szCs w:val="20"/>
              </w:rPr>
              <w:t>Application</w:t>
            </w:r>
            <w:r>
              <w:rPr>
                <w:sz w:val="20"/>
                <w:szCs w:val="20"/>
              </w:rPr>
              <w:t>,</w:t>
            </w:r>
            <w:r w:rsidRPr="000E7956">
              <w:rPr>
                <w:sz w:val="20"/>
                <w:szCs w:val="20"/>
              </w:rPr>
              <w:t xml:space="preserve"> as </w:t>
            </w:r>
            <w:r>
              <w:rPr>
                <w:sz w:val="20"/>
                <w:szCs w:val="20"/>
              </w:rPr>
              <w:t>the permission is for optional addition</w:t>
            </w:r>
            <w:r w:rsidRPr="000E7956">
              <w:rPr>
                <w:sz w:val="20"/>
                <w:szCs w:val="20"/>
              </w:rPr>
              <w:t xml:space="preserve"> </w:t>
            </w:r>
            <w:r>
              <w:rPr>
                <w:sz w:val="20"/>
                <w:szCs w:val="20"/>
              </w:rPr>
              <w:t xml:space="preserve">of short chain </w:t>
            </w:r>
            <w:proofErr w:type="spellStart"/>
            <w:r w:rsidRPr="000E7956">
              <w:rPr>
                <w:sz w:val="20"/>
                <w:szCs w:val="20"/>
              </w:rPr>
              <w:t>FOS</w:t>
            </w:r>
            <w:r w:rsidRPr="000E7956">
              <w:rPr>
                <w:sz w:val="20"/>
                <w:szCs w:val="20"/>
                <w:vertAlign w:val="subscript"/>
              </w:rPr>
              <w:t>sucrose</w:t>
            </w:r>
            <w:proofErr w:type="spellEnd"/>
            <w:r w:rsidRPr="000E7956">
              <w:rPr>
                <w:sz w:val="20"/>
                <w:szCs w:val="20"/>
              </w:rPr>
              <w:t xml:space="preserve"> </w:t>
            </w:r>
            <w:r>
              <w:rPr>
                <w:sz w:val="20"/>
                <w:szCs w:val="20"/>
              </w:rPr>
              <w:t>to infant formula products</w:t>
            </w:r>
            <w:r w:rsidRPr="000E7956">
              <w:rPr>
                <w:sz w:val="20"/>
                <w:szCs w:val="20"/>
              </w:rPr>
              <w:t>.</w:t>
            </w:r>
          </w:p>
        </w:tc>
        <w:tc>
          <w:tcPr>
            <w:tcW w:w="1451" w:type="dxa"/>
          </w:tcPr>
          <w:p w:rsidR="0024026E" w:rsidRPr="000E7956" w:rsidRDefault="0024026E" w:rsidP="00BF4BF6">
            <w:pPr>
              <w:rPr>
                <w:sz w:val="20"/>
                <w:szCs w:val="20"/>
              </w:rPr>
            </w:pPr>
            <w:r w:rsidRPr="000E7956">
              <w:rPr>
                <w:sz w:val="20"/>
                <w:szCs w:val="20"/>
              </w:rPr>
              <w:t>Not applicable</w:t>
            </w:r>
          </w:p>
        </w:tc>
      </w:tr>
      <w:tr w:rsidR="0024026E" w:rsidTr="00BF4BF6">
        <w:trPr>
          <w:cantSplit/>
        </w:trPr>
        <w:tc>
          <w:tcPr>
            <w:tcW w:w="0" w:type="auto"/>
          </w:tcPr>
          <w:p w:rsidR="0024026E" w:rsidRPr="000E7956" w:rsidRDefault="0024026E" w:rsidP="0024026E">
            <w:pPr>
              <w:pStyle w:val="ListParagraph"/>
              <w:widowControl/>
              <w:numPr>
                <w:ilvl w:val="0"/>
                <w:numId w:val="5"/>
              </w:numPr>
              <w:rPr>
                <w:i/>
                <w:sz w:val="20"/>
                <w:szCs w:val="20"/>
              </w:rPr>
            </w:pPr>
            <w:r w:rsidRPr="000E7956">
              <w:rPr>
                <w:i/>
                <w:sz w:val="20"/>
                <w:szCs w:val="20"/>
              </w:rPr>
              <w:t xml:space="preserve">Compositional requirements for infant formula and follow-on formula products should only be </w:t>
            </w:r>
            <w:r w:rsidRPr="000E7956">
              <w:rPr>
                <w:i/>
                <w:sz w:val="20"/>
                <w:szCs w:val="20"/>
                <w:u w:val="single"/>
              </w:rPr>
              <w:t>mandated in regulation</w:t>
            </w:r>
            <w:r w:rsidRPr="000E7956">
              <w:rPr>
                <w:i/>
                <w:sz w:val="20"/>
                <w:szCs w:val="20"/>
              </w:rPr>
              <w:t xml:space="preserve"> where there is sufficient evidence to demonstrate that they are safe and essential for normal growth and development of infants. </w:t>
            </w:r>
          </w:p>
        </w:tc>
        <w:tc>
          <w:tcPr>
            <w:tcW w:w="6167" w:type="dxa"/>
          </w:tcPr>
          <w:p w:rsidR="0024026E" w:rsidRPr="000E7956" w:rsidRDefault="0024026E" w:rsidP="00BF4BF6">
            <w:pPr>
              <w:pStyle w:val="ListParagraph"/>
              <w:ind w:left="0"/>
              <w:rPr>
                <w:i/>
                <w:sz w:val="20"/>
                <w:szCs w:val="20"/>
              </w:rPr>
            </w:pPr>
            <w:r>
              <w:rPr>
                <w:sz w:val="20"/>
                <w:szCs w:val="20"/>
              </w:rPr>
              <w:t>Not applicable</w:t>
            </w:r>
            <w:r w:rsidRPr="000E7956">
              <w:rPr>
                <w:sz w:val="20"/>
                <w:szCs w:val="20"/>
              </w:rPr>
              <w:t xml:space="preserve"> to this </w:t>
            </w:r>
            <w:r w:rsidR="00306F2F" w:rsidRPr="000E7956">
              <w:rPr>
                <w:sz w:val="20"/>
                <w:szCs w:val="20"/>
              </w:rPr>
              <w:t>Application</w:t>
            </w:r>
            <w:r>
              <w:rPr>
                <w:sz w:val="20"/>
                <w:szCs w:val="20"/>
              </w:rPr>
              <w:t>,</w:t>
            </w:r>
            <w:r w:rsidRPr="000E7956">
              <w:rPr>
                <w:sz w:val="20"/>
                <w:szCs w:val="20"/>
              </w:rPr>
              <w:t xml:space="preserve"> as </w:t>
            </w:r>
            <w:r>
              <w:rPr>
                <w:sz w:val="20"/>
                <w:szCs w:val="20"/>
              </w:rPr>
              <w:t>the permission is for optional addition</w:t>
            </w:r>
            <w:r w:rsidRPr="000E7956">
              <w:rPr>
                <w:sz w:val="20"/>
                <w:szCs w:val="20"/>
              </w:rPr>
              <w:t xml:space="preserve"> </w:t>
            </w:r>
            <w:r>
              <w:rPr>
                <w:sz w:val="20"/>
                <w:szCs w:val="20"/>
              </w:rPr>
              <w:t xml:space="preserve">of short chain </w:t>
            </w:r>
            <w:proofErr w:type="spellStart"/>
            <w:r w:rsidRPr="000E7956">
              <w:rPr>
                <w:sz w:val="20"/>
                <w:szCs w:val="20"/>
              </w:rPr>
              <w:t>FOS</w:t>
            </w:r>
            <w:r w:rsidRPr="000E7956">
              <w:rPr>
                <w:sz w:val="20"/>
                <w:szCs w:val="20"/>
                <w:vertAlign w:val="subscript"/>
              </w:rPr>
              <w:t>sucrose</w:t>
            </w:r>
            <w:proofErr w:type="spellEnd"/>
            <w:r w:rsidRPr="000E7956">
              <w:rPr>
                <w:sz w:val="20"/>
                <w:szCs w:val="20"/>
              </w:rPr>
              <w:t xml:space="preserve"> </w:t>
            </w:r>
            <w:r>
              <w:rPr>
                <w:sz w:val="20"/>
                <w:szCs w:val="20"/>
              </w:rPr>
              <w:t>to infant formula products</w:t>
            </w:r>
            <w:r w:rsidRPr="000E7956">
              <w:rPr>
                <w:sz w:val="20"/>
                <w:szCs w:val="20"/>
              </w:rPr>
              <w:t>.</w:t>
            </w:r>
          </w:p>
        </w:tc>
        <w:tc>
          <w:tcPr>
            <w:tcW w:w="1451" w:type="dxa"/>
          </w:tcPr>
          <w:p w:rsidR="0024026E" w:rsidRPr="000E7956" w:rsidRDefault="0024026E" w:rsidP="00BF4BF6">
            <w:pPr>
              <w:pStyle w:val="ListParagraph"/>
              <w:ind w:left="0"/>
              <w:rPr>
                <w:sz w:val="20"/>
                <w:szCs w:val="20"/>
              </w:rPr>
            </w:pPr>
            <w:r w:rsidRPr="000E7956">
              <w:rPr>
                <w:sz w:val="20"/>
                <w:szCs w:val="20"/>
              </w:rPr>
              <w:t>Not applicable</w:t>
            </w:r>
          </w:p>
        </w:tc>
      </w:tr>
      <w:tr w:rsidR="0024026E" w:rsidTr="00BF4BF6">
        <w:trPr>
          <w:cantSplit/>
        </w:trPr>
        <w:tc>
          <w:tcPr>
            <w:tcW w:w="0" w:type="auto"/>
          </w:tcPr>
          <w:p w:rsidR="0024026E" w:rsidRPr="000E7956" w:rsidRDefault="0024026E" w:rsidP="0024026E">
            <w:pPr>
              <w:pStyle w:val="ListParagraph"/>
              <w:widowControl/>
              <w:numPr>
                <w:ilvl w:val="0"/>
                <w:numId w:val="5"/>
              </w:numPr>
              <w:rPr>
                <w:i/>
                <w:sz w:val="20"/>
                <w:szCs w:val="20"/>
              </w:rPr>
            </w:pPr>
            <w:r w:rsidRPr="000E7956">
              <w:rPr>
                <w:i/>
                <w:sz w:val="20"/>
                <w:szCs w:val="20"/>
              </w:rPr>
              <w:t>The composition of breast milk should be used as a primary reference for determining the composition of infant formula and follow-on formula</w:t>
            </w:r>
          </w:p>
        </w:tc>
        <w:tc>
          <w:tcPr>
            <w:tcW w:w="6167" w:type="dxa"/>
          </w:tcPr>
          <w:p w:rsidR="0024026E" w:rsidRPr="000E7956" w:rsidRDefault="0024026E">
            <w:pPr>
              <w:pStyle w:val="ListParagraph"/>
              <w:ind w:left="0"/>
              <w:rPr>
                <w:i/>
                <w:sz w:val="20"/>
                <w:szCs w:val="20"/>
              </w:rPr>
            </w:pPr>
            <w:r w:rsidRPr="000E7956">
              <w:rPr>
                <w:sz w:val="20"/>
                <w:szCs w:val="20"/>
              </w:rPr>
              <w:t xml:space="preserve">The risk </w:t>
            </w:r>
            <w:r w:rsidR="00BF4BF6">
              <w:rPr>
                <w:sz w:val="20"/>
                <w:szCs w:val="20"/>
              </w:rPr>
              <w:t xml:space="preserve">and technical </w:t>
            </w:r>
            <w:r w:rsidRPr="000E7956">
              <w:rPr>
                <w:sz w:val="20"/>
                <w:szCs w:val="20"/>
              </w:rPr>
              <w:t xml:space="preserve">assessment </w:t>
            </w:r>
            <w:r w:rsidR="00BF4BF6">
              <w:rPr>
                <w:sz w:val="20"/>
                <w:szCs w:val="20"/>
              </w:rPr>
              <w:t>used</w:t>
            </w:r>
            <w:r w:rsidRPr="000E7956">
              <w:rPr>
                <w:sz w:val="20"/>
                <w:szCs w:val="20"/>
              </w:rPr>
              <w:t xml:space="preserve"> the composition of breast milk as a primary reference for determining the composition of </w:t>
            </w:r>
            <w:r>
              <w:rPr>
                <w:sz w:val="20"/>
                <w:szCs w:val="20"/>
              </w:rPr>
              <w:t xml:space="preserve">inulin-type fructans in </w:t>
            </w:r>
            <w:r w:rsidRPr="000E7956">
              <w:rPr>
                <w:sz w:val="20"/>
                <w:szCs w:val="20"/>
              </w:rPr>
              <w:t xml:space="preserve">infant formula products. </w:t>
            </w:r>
            <w:r w:rsidR="009055AE" w:rsidRPr="000E7956">
              <w:rPr>
                <w:sz w:val="20"/>
                <w:szCs w:val="20"/>
              </w:rPr>
              <w:t xml:space="preserve">The </w:t>
            </w:r>
            <w:r w:rsidR="009055AE">
              <w:rPr>
                <w:sz w:val="20"/>
                <w:szCs w:val="20"/>
              </w:rPr>
              <w:t xml:space="preserve">approved permitted </w:t>
            </w:r>
            <w:r w:rsidR="009055AE" w:rsidRPr="000E7956">
              <w:rPr>
                <w:sz w:val="20"/>
                <w:szCs w:val="20"/>
                <w:lang w:eastAsia="en-AU"/>
              </w:rPr>
              <w:t>amount</w:t>
            </w:r>
            <w:r w:rsidR="009055AE">
              <w:rPr>
                <w:sz w:val="20"/>
                <w:szCs w:val="20"/>
                <w:lang w:eastAsia="en-AU"/>
              </w:rPr>
              <w:t xml:space="preserve"> is</w:t>
            </w:r>
            <w:r w:rsidR="009055AE" w:rsidRPr="000E7956">
              <w:rPr>
                <w:sz w:val="20"/>
                <w:szCs w:val="20"/>
                <w:lang w:eastAsia="en-AU"/>
              </w:rPr>
              <w:t xml:space="preserve"> well below the amount of oligosaccharides found in breast milk.</w:t>
            </w:r>
            <w:r w:rsidR="009055AE" w:rsidRPr="000E7956">
              <w:rPr>
                <w:sz w:val="20"/>
                <w:szCs w:val="20"/>
              </w:rPr>
              <w:t xml:space="preserve"> </w:t>
            </w:r>
          </w:p>
        </w:tc>
        <w:tc>
          <w:tcPr>
            <w:tcW w:w="1451" w:type="dxa"/>
          </w:tcPr>
          <w:p w:rsidR="0024026E" w:rsidRPr="000E7956" w:rsidRDefault="0024026E" w:rsidP="00BF4BF6">
            <w:pPr>
              <w:pStyle w:val="ListParagraph"/>
              <w:ind w:left="0"/>
              <w:rPr>
                <w:sz w:val="20"/>
                <w:szCs w:val="20"/>
              </w:rPr>
            </w:pPr>
            <w:r w:rsidRPr="000E7956">
              <w:rPr>
                <w:sz w:val="20"/>
                <w:szCs w:val="20"/>
              </w:rPr>
              <w:t>Yes</w:t>
            </w:r>
          </w:p>
          <w:p w:rsidR="0024026E" w:rsidRPr="000E7956" w:rsidRDefault="0024026E" w:rsidP="00BF4BF6">
            <w:pPr>
              <w:pStyle w:val="ListParagraph"/>
              <w:ind w:left="0"/>
              <w:rPr>
                <w:sz w:val="20"/>
                <w:szCs w:val="20"/>
              </w:rPr>
            </w:pPr>
          </w:p>
        </w:tc>
      </w:tr>
      <w:tr w:rsidR="0024026E" w:rsidTr="00BF4BF6">
        <w:trPr>
          <w:cantSplit/>
        </w:trPr>
        <w:tc>
          <w:tcPr>
            <w:tcW w:w="0" w:type="auto"/>
          </w:tcPr>
          <w:p w:rsidR="0024026E" w:rsidRPr="000E7956" w:rsidRDefault="0024026E" w:rsidP="0024026E">
            <w:pPr>
              <w:pStyle w:val="ListParagraph"/>
              <w:widowControl/>
              <w:numPr>
                <w:ilvl w:val="0"/>
                <w:numId w:val="5"/>
              </w:numPr>
              <w:rPr>
                <w:i/>
                <w:sz w:val="20"/>
                <w:szCs w:val="20"/>
              </w:rPr>
            </w:pPr>
            <w:r w:rsidRPr="000E7956">
              <w:rPr>
                <w:i/>
                <w:sz w:val="20"/>
                <w:szCs w:val="20"/>
              </w:rPr>
              <w:lastRenderedPageBreak/>
              <w:t>Pre-market assessment, relative to principles d) and e), should be required for any substance proposed to be used in infant formula and follow on formula that:</w:t>
            </w:r>
          </w:p>
          <w:p w:rsidR="0024026E" w:rsidRPr="000E7956" w:rsidRDefault="0024026E" w:rsidP="00BF4BF6">
            <w:pPr>
              <w:pStyle w:val="ListParagraph"/>
              <w:rPr>
                <w:i/>
                <w:sz w:val="20"/>
                <w:szCs w:val="20"/>
              </w:rPr>
            </w:pPr>
          </w:p>
          <w:p w:rsidR="0024026E" w:rsidRPr="000E7956" w:rsidRDefault="0024026E" w:rsidP="0024026E">
            <w:pPr>
              <w:pStyle w:val="ListParagraph"/>
              <w:widowControl/>
              <w:numPr>
                <w:ilvl w:val="1"/>
                <w:numId w:val="5"/>
              </w:numPr>
              <w:ind w:left="709"/>
              <w:rPr>
                <w:i/>
                <w:sz w:val="20"/>
                <w:szCs w:val="20"/>
              </w:rPr>
            </w:pPr>
            <w:r w:rsidRPr="000E7956">
              <w:rPr>
                <w:i/>
                <w:sz w:val="20"/>
                <w:szCs w:val="20"/>
              </w:rPr>
              <w:t>Does not have a history of safe use at the proposed level in these products in Australia and New Zealand; or</w:t>
            </w:r>
          </w:p>
          <w:p w:rsidR="0024026E" w:rsidRPr="000E7956" w:rsidRDefault="0024026E" w:rsidP="0024026E">
            <w:pPr>
              <w:pStyle w:val="ListParagraph"/>
              <w:widowControl/>
              <w:numPr>
                <w:ilvl w:val="1"/>
                <w:numId w:val="5"/>
              </w:numPr>
              <w:ind w:left="720"/>
              <w:rPr>
                <w:i/>
                <w:sz w:val="20"/>
                <w:szCs w:val="20"/>
              </w:rPr>
            </w:pPr>
            <w:r w:rsidRPr="000E7956">
              <w:rPr>
                <w:i/>
                <w:sz w:val="20"/>
                <w:szCs w:val="20"/>
              </w:rPr>
              <w:t xml:space="preserve">Has a history of safe use in these products in Australia and New Zealand, but which having regard to source, has a different form/structure, or is produced using a substantially different technique or technology. </w:t>
            </w:r>
          </w:p>
        </w:tc>
        <w:tc>
          <w:tcPr>
            <w:tcW w:w="6167" w:type="dxa"/>
          </w:tcPr>
          <w:p w:rsidR="0024026E" w:rsidRPr="000E7956" w:rsidRDefault="0024026E" w:rsidP="00BF4BF6">
            <w:pPr>
              <w:pStyle w:val="ListParagraph"/>
              <w:ind w:left="0"/>
              <w:rPr>
                <w:sz w:val="20"/>
                <w:szCs w:val="20"/>
              </w:rPr>
            </w:pPr>
            <w:r w:rsidRPr="000E7956">
              <w:rPr>
                <w:sz w:val="20"/>
                <w:szCs w:val="20"/>
              </w:rPr>
              <w:t xml:space="preserve">Short chain </w:t>
            </w:r>
            <w:proofErr w:type="spellStart"/>
            <w:r w:rsidRPr="000E7956">
              <w:rPr>
                <w:sz w:val="20"/>
                <w:szCs w:val="20"/>
              </w:rPr>
              <w:t>FOS</w:t>
            </w:r>
            <w:r w:rsidRPr="000E7956">
              <w:rPr>
                <w:sz w:val="20"/>
                <w:szCs w:val="20"/>
                <w:vertAlign w:val="subscript"/>
              </w:rPr>
              <w:t>sucrose</w:t>
            </w:r>
            <w:proofErr w:type="spellEnd"/>
            <w:r w:rsidRPr="000E7956">
              <w:rPr>
                <w:sz w:val="20"/>
                <w:szCs w:val="20"/>
              </w:rPr>
              <w:t xml:space="preserve"> does not have a history of safe use in infant formula products in Australia </w:t>
            </w:r>
            <w:r>
              <w:rPr>
                <w:sz w:val="20"/>
                <w:szCs w:val="20"/>
              </w:rPr>
              <w:t xml:space="preserve">and </w:t>
            </w:r>
            <w:r w:rsidRPr="000E7956">
              <w:rPr>
                <w:sz w:val="20"/>
                <w:szCs w:val="20"/>
              </w:rPr>
              <w:t>New Zealand and thus require</w:t>
            </w:r>
            <w:r>
              <w:rPr>
                <w:sz w:val="20"/>
                <w:szCs w:val="20"/>
              </w:rPr>
              <w:t>d</w:t>
            </w:r>
            <w:r w:rsidRPr="000E7956">
              <w:rPr>
                <w:sz w:val="20"/>
                <w:szCs w:val="20"/>
              </w:rPr>
              <w:t xml:space="preserve"> a pre-market assessment.</w:t>
            </w:r>
          </w:p>
        </w:tc>
        <w:tc>
          <w:tcPr>
            <w:tcW w:w="1451" w:type="dxa"/>
          </w:tcPr>
          <w:p w:rsidR="0024026E" w:rsidRPr="000E7956" w:rsidRDefault="0024026E" w:rsidP="00BF4BF6">
            <w:pPr>
              <w:pStyle w:val="ListParagraph"/>
              <w:ind w:left="0"/>
              <w:rPr>
                <w:sz w:val="20"/>
                <w:szCs w:val="20"/>
              </w:rPr>
            </w:pPr>
            <w:r w:rsidRPr="000E7956">
              <w:rPr>
                <w:sz w:val="20"/>
                <w:szCs w:val="20"/>
              </w:rPr>
              <w:t>Yes</w:t>
            </w:r>
          </w:p>
          <w:p w:rsidR="0024026E" w:rsidRPr="000E7956" w:rsidRDefault="0024026E" w:rsidP="00BF4BF6">
            <w:pPr>
              <w:pStyle w:val="ListParagraph"/>
              <w:ind w:left="0"/>
              <w:rPr>
                <w:sz w:val="20"/>
                <w:szCs w:val="20"/>
              </w:rPr>
            </w:pPr>
          </w:p>
        </w:tc>
      </w:tr>
      <w:tr w:rsidR="0024026E" w:rsidTr="00BF4BF6">
        <w:trPr>
          <w:cantSplit/>
        </w:trPr>
        <w:tc>
          <w:tcPr>
            <w:tcW w:w="0" w:type="auto"/>
          </w:tcPr>
          <w:p w:rsidR="0024026E" w:rsidRPr="000E7956" w:rsidRDefault="0024026E" w:rsidP="0024026E">
            <w:pPr>
              <w:pStyle w:val="ListParagraph"/>
              <w:widowControl/>
              <w:numPr>
                <w:ilvl w:val="0"/>
                <w:numId w:val="5"/>
              </w:numPr>
              <w:rPr>
                <w:i/>
                <w:sz w:val="20"/>
                <w:szCs w:val="20"/>
              </w:rPr>
            </w:pPr>
            <w:r w:rsidRPr="000E7956">
              <w:rPr>
                <w:i/>
                <w:sz w:val="20"/>
                <w:szCs w:val="20"/>
              </w:rPr>
              <w:t>Substances subject to pre-market assessment for use in infant formula and follow on formula should have a substantiated beneficial role in the normal growth and development of infants or children, or a technological role, taking into account, where relevant, the levels of comparable substances in breast milk. A substances role in normal growth and development is substantiated where there is appropriate evidence to link the physiological, biochemical and /or functional effects of the substance to specific health outcomes for infants in infancy or childhood. Particular caution should be applied by the Authority where such links are less clear.</w:t>
            </w:r>
          </w:p>
        </w:tc>
        <w:tc>
          <w:tcPr>
            <w:tcW w:w="6167" w:type="dxa"/>
          </w:tcPr>
          <w:p w:rsidR="0024026E" w:rsidRPr="000E7956" w:rsidRDefault="0024026E" w:rsidP="00BF4BF6">
            <w:pPr>
              <w:rPr>
                <w:sz w:val="20"/>
                <w:szCs w:val="20"/>
              </w:rPr>
            </w:pPr>
            <w:r w:rsidRPr="000E7956">
              <w:rPr>
                <w:sz w:val="20"/>
                <w:szCs w:val="20"/>
              </w:rPr>
              <w:t xml:space="preserve">The risk </w:t>
            </w:r>
            <w:r w:rsidR="009055AE">
              <w:rPr>
                <w:sz w:val="20"/>
                <w:szCs w:val="20"/>
              </w:rPr>
              <w:t xml:space="preserve">and technical </w:t>
            </w:r>
            <w:r w:rsidRPr="000E7956">
              <w:rPr>
                <w:sz w:val="20"/>
                <w:szCs w:val="20"/>
              </w:rPr>
              <w:t>assessment conclude</w:t>
            </w:r>
            <w:r>
              <w:rPr>
                <w:sz w:val="20"/>
                <w:szCs w:val="20"/>
              </w:rPr>
              <w:t>d</w:t>
            </w:r>
            <w:r w:rsidRPr="000E7956">
              <w:rPr>
                <w:sz w:val="20"/>
                <w:szCs w:val="20"/>
              </w:rPr>
              <w:t xml:space="preserve"> that there was no discernible difference in infant growth patterns between infants consuming formula containing short chain </w:t>
            </w:r>
            <w:proofErr w:type="spellStart"/>
            <w:r w:rsidRPr="000E7956">
              <w:rPr>
                <w:sz w:val="20"/>
                <w:szCs w:val="20"/>
              </w:rPr>
              <w:t>FOS</w:t>
            </w:r>
            <w:r w:rsidRPr="000E7956">
              <w:rPr>
                <w:sz w:val="20"/>
                <w:szCs w:val="20"/>
                <w:vertAlign w:val="subscript"/>
              </w:rPr>
              <w:t>sucrose</w:t>
            </w:r>
            <w:proofErr w:type="spellEnd"/>
            <w:r w:rsidRPr="000E7956">
              <w:rPr>
                <w:sz w:val="20"/>
                <w:szCs w:val="20"/>
              </w:rPr>
              <w:t xml:space="preserve"> and infants fed unsupplemented formula. </w:t>
            </w:r>
          </w:p>
          <w:p w:rsidR="0024026E" w:rsidRPr="000E7956" w:rsidRDefault="0024026E" w:rsidP="00BF4BF6">
            <w:pPr>
              <w:rPr>
                <w:sz w:val="20"/>
                <w:szCs w:val="20"/>
              </w:rPr>
            </w:pPr>
          </w:p>
          <w:p w:rsidR="0024026E" w:rsidRPr="000E7956" w:rsidRDefault="0024026E" w:rsidP="00BF4BF6">
            <w:pPr>
              <w:rPr>
                <w:sz w:val="20"/>
                <w:szCs w:val="20"/>
              </w:rPr>
            </w:pPr>
            <w:r w:rsidRPr="000E7956">
              <w:rPr>
                <w:sz w:val="20"/>
                <w:szCs w:val="20"/>
              </w:rPr>
              <w:t xml:space="preserve">The quantity of poly- and oligosaccharides present in breast milk is ~ 25 g/L following birth, and decreases to around 15 g/L from one to four months. </w:t>
            </w:r>
          </w:p>
          <w:p w:rsidR="0024026E" w:rsidRPr="000E7956" w:rsidRDefault="0024026E" w:rsidP="00BF4BF6">
            <w:pPr>
              <w:rPr>
                <w:sz w:val="20"/>
                <w:szCs w:val="20"/>
              </w:rPr>
            </w:pPr>
          </w:p>
          <w:p w:rsidR="0024026E" w:rsidRPr="000E7956" w:rsidRDefault="0024026E" w:rsidP="00BF4BF6">
            <w:pPr>
              <w:rPr>
                <w:rFonts w:cs="Arial"/>
                <w:sz w:val="20"/>
                <w:szCs w:val="20"/>
              </w:rPr>
            </w:pPr>
            <w:r w:rsidRPr="000E7956">
              <w:rPr>
                <w:sz w:val="20"/>
                <w:szCs w:val="20"/>
              </w:rPr>
              <w:t xml:space="preserve">The risk </w:t>
            </w:r>
            <w:r w:rsidR="009055AE">
              <w:rPr>
                <w:sz w:val="20"/>
                <w:szCs w:val="20"/>
              </w:rPr>
              <w:t xml:space="preserve">and technical </w:t>
            </w:r>
            <w:r w:rsidRPr="000E7956">
              <w:rPr>
                <w:sz w:val="20"/>
                <w:szCs w:val="20"/>
              </w:rPr>
              <w:t>assessment conclude</w:t>
            </w:r>
            <w:r>
              <w:rPr>
                <w:sz w:val="20"/>
                <w:szCs w:val="20"/>
              </w:rPr>
              <w:t>d</w:t>
            </w:r>
            <w:r w:rsidRPr="000E7956">
              <w:rPr>
                <w:sz w:val="20"/>
                <w:szCs w:val="20"/>
              </w:rPr>
              <w:t xml:space="preserve"> </w:t>
            </w:r>
            <w:r>
              <w:rPr>
                <w:sz w:val="20"/>
                <w:szCs w:val="20"/>
              </w:rPr>
              <w:t xml:space="preserve">that </w:t>
            </w:r>
            <w:r w:rsidRPr="000E7956">
              <w:rPr>
                <w:sz w:val="20"/>
                <w:szCs w:val="20"/>
              </w:rPr>
              <w:t xml:space="preserve">short chain </w:t>
            </w:r>
            <w:proofErr w:type="spellStart"/>
            <w:r w:rsidRPr="000E7956">
              <w:rPr>
                <w:sz w:val="20"/>
                <w:szCs w:val="20"/>
              </w:rPr>
              <w:t>FOS</w:t>
            </w:r>
            <w:r w:rsidRPr="000E7956">
              <w:rPr>
                <w:sz w:val="20"/>
                <w:szCs w:val="20"/>
                <w:vertAlign w:val="subscript"/>
              </w:rPr>
              <w:t>sucrose</w:t>
            </w:r>
            <w:proofErr w:type="spellEnd"/>
            <w:r w:rsidRPr="000E7956">
              <w:rPr>
                <w:sz w:val="20"/>
                <w:szCs w:val="20"/>
              </w:rPr>
              <w:t xml:space="preserve"> has the potential to soften </w:t>
            </w:r>
            <w:r>
              <w:rPr>
                <w:sz w:val="20"/>
                <w:szCs w:val="20"/>
              </w:rPr>
              <w:t xml:space="preserve">infant </w:t>
            </w:r>
            <w:r w:rsidRPr="000E7956">
              <w:rPr>
                <w:sz w:val="20"/>
                <w:szCs w:val="20"/>
              </w:rPr>
              <w:t>stools and may reduce the incidence of constipation</w:t>
            </w:r>
            <w:r>
              <w:rPr>
                <w:sz w:val="20"/>
                <w:szCs w:val="20"/>
              </w:rPr>
              <w:t>,</w:t>
            </w:r>
            <w:r w:rsidRPr="000E7956">
              <w:rPr>
                <w:sz w:val="20"/>
                <w:szCs w:val="20"/>
              </w:rPr>
              <w:t xml:space="preserve"> </w:t>
            </w:r>
            <w:r w:rsidRPr="000E7956">
              <w:rPr>
                <w:rFonts w:cs="Arial"/>
                <w:sz w:val="20"/>
                <w:szCs w:val="20"/>
              </w:rPr>
              <w:t>both of which are considered beneficial effects.</w:t>
            </w:r>
          </w:p>
          <w:p w:rsidR="0024026E" w:rsidRPr="000E7956" w:rsidRDefault="0024026E" w:rsidP="00BF4BF6">
            <w:pPr>
              <w:rPr>
                <w:sz w:val="20"/>
                <w:szCs w:val="20"/>
              </w:rPr>
            </w:pPr>
          </w:p>
          <w:p w:rsidR="0024026E" w:rsidRPr="000E7956" w:rsidRDefault="0024026E" w:rsidP="00BF4BF6">
            <w:pPr>
              <w:rPr>
                <w:color w:val="548DD4" w:themeColor="text2" w:themeTint="99"/>
                <w:sz w:val="20"/>
                <w:szCs w:val="20"/>
                <w:lang w:eastAsia="en-AU"/>
              </w:rPr>
            </w:pPr>
            <w:r w:rsidRPr="000E7956">
              <w:rPr>
                <w:sz w:val="20"/>
                <w:szCs w:val="20"/>
              </w:rPr>
              <w:t xml:space="preserve">FSANZ has applied caution in developing the proposed regulatory measure, which is an extension of the current permissions for IDS. </w:t>
            </w:r>
          </w:p>
        </w:tc>
        <w:tc>
          <w:tcPr>
            <w:tcW w:w="1451" w:type="dxa"/>
          </w:tcPr>
          <w:p w:rsidR="0024026E" w:rsidRPr="000E7956" w:rsidRDefault="0024026E" w:rsidP="00BF4BF6">
            <w:pPr>
              <w:pStyle w:val="ListParagraph"/>
              <w:ind w:left="0"/>
              <w:rPr>
                <w:sz w:val="20"/>
                <w:szCs w:val="20"/>
              </w:rPr>
            </w:pPr>
            <w:r w:rsidRPr="000E7956">
              <w:rPr>
                <w:sz w:val="20"/>
                <w:szCs w:val="20"/>
              </w:rPr>
              <w:t xml:space="preserve">Yes </w:t>
            </w:r>
          </w:p>
        </w:tc>
      </w:tr>
      <w:tr w:rsidR="0024026E" w:rsidRPr="00841F7D" w:rsidTr="00BF4BF6">
        <w:trPr>
          <w:cantSplit/>
        </w:trPr>
        <w:tc>
          <w:tcPr>
            <w:tcW w:w="0" w:type="auto"/>
          </w:tcPr>
          <w:p w:rsidR="0024026E" w:rsidRPr="000E7956" w:rsidRDefault="0024026E" w:rsidP="00BF4BF6">
            <w:pPr>
              <w:rPr>
                <w:b/>
                <w:i/>
                <w:sz w:val="20"/>
                <w:szCs w:val="20"/>
              </w:rPr>
            </w:pPr>
            <w:r w:rsidRPr="000E7956">
              <w:rPr>
                <w:b/>
                <w:i/>
                <w:sz w:val="20"/>
                <w:szCs w:val="20"/>
              </w:rPr>
              <w:t>Specific Policy Principles – Labelling and Advertising</w:t>
            </w:r>
          </w:p>
        </w:tc>
        <w:tc>
          <w:tcPr>
            <w:tcW w:w="6167" w:type="dxa"/>
          </w:tcPr>
          <w:p w:rsidR="0024026E" w:rsidRPr="000E7956" w:rsidRDefault="0024026E" w:rsidP="00BF4BF6">
            <w:pPr>
              <w:rPr>
                <w:b/>
                <w:sz w:val="20"/>
                <w:szCs w:val="20"/>
              </w:rPr>
            </w:pPr>
          </w:p>
        </w:tc>
        <w:tc>
          <w:tcPr>
            <w:tcW w:w="1451" w:type="dxa"/>
          </w:tcPr>
          <w:p w:rsidR="0024026E" w:rsidRPr="000E7956" w:rsidRDefault="0024026E" w:rsidP="00BF4BF6">
            <w:pPr>
              <w:pStyle w:val="ListParagraph"/>
              <w:rPr>
                <w:b/>
                <w:sz w:val="20"/>
                <w:szCs w:val="20"/>
              </w:rPr>
            </w:pPr>
          </w:p>
        </w:tc>
      </w:tr>
      <w:tr w:rsidR="0024026E" w:rsidTr="00BF4BF6">
        <w:trPr>
          <w:cantSplit/>
        </w:trPr>
        <w:tc>
          <w:tcPr>
            <w:tcW w:w="0" w:type="auto"/>
          </w:tcPr>
          <w:p w:rsidR="0024026E" w:rsidRPr="000E7956" w:rsidRDefault="0024026E" w:rsidP="0024026E">
            <w:pPr>
              <w:pStyle w:val="ListParagraph"/>
              <w:widowControl/>
              <w:numPr>
                <w:ilvl w:val="0"/>
                <w:numId w:val="5"/>
              </w:numPr>
              <w:autoSpaceDE w:val="0"/>
              <w:autoSpaceDN w:val="0"/>
              <w:adjustRightInd w:val="0"/>
              <w:rPr>
                <w:rFonts w:cs="Arial"/>
                <w:i/>
                <w:sz w:val="20"/>
                <w:szCs w:val="20"/>
              </w:rPr>
            </w:pPr>
            <w:r w:rsidRPr="000E7956">
              <w:rPr>
                <w:rFonts w:cs="Arial"/>
                <w:i/>
                <w:sz w:val="20"/>
                <w:szCs w:val="20"/>
              </w:rPr>
              <w:t>The labelling and advertising of infant formula products should be consistent with the World Health Organization International Code of Marketing of Breast Milk Substitutes as implemented in Australia and New Zealand</w:t>
            </w:r>
          </w:p>
        </w:tc>
        <w:tc>
          <w:tcPr>
            <w:tcW w:w="6167" w:type="dxa"/>
          </w:tcPr>
          <w:p w:rsidR="0024026E" w:rsidRPr="000E7956" w:rsidRDefault="0024026E" w:rsidP="00BF4BF6">
            <w:pPr>
              <w:autoSpaceDE w:val="0"/>
              <w:autoSpaceDN w:val="0"/>
              <w:rPr>
                <w:sz w:val="20"/>
                <w:szCs w:val="20"/>
              </w:rPr>
            </w:pPr>
            <w:r w:rsidRPr="000E7956">
              <w:rPr>
                <w:sz w:val="20"/>
                <w:szCs w:val="20"/>
              </w:rPr>
              <w:t xml:space="preserve">Not </w:t>
            </w:r>
            <w:r>
              <w:rPr>
                <w:sz w:val="20"/>
                <w:szCs w:val="20"/>
              </w:rPr>
              <w:t>applicable</w:t>
            </w:r>
            <w:r w:rsidRPr="000E7956">
              <w:rPr>
                <w:sz w:val="20"/>
                <w:szCs w:val="20"/>
              </w:rPr>
              <w:t xml:space="preserve"> to this </w:t>
            </w:r>
            <w:r w:rsidR="009055AE" w:rsidRPr="000E7956">
              <w:rPr>
                <w:sz w:val="20"/>
                <w:szCs w:val="20"/>
              </w:rPr>
              <w:t>Application</w:t>
            </w:r>
          </w:p>
          <w:p w:rsidR="0024026E" w:rsidRPr="000E7956" w:rsidRDefault="0024026E" w:rsidP="00BF4BF6">
            <w:pPr>
              <w:autoSpaceDE w:val="0"/>
              <w:autoSpaceDN w:val="0"/>
              <w:rPr>
                <w:sz w:val="20"/>
                <w:szCs w:val="20"/>
              </w:rPr>
            </w:pPr>
          </w:p>
        </w:tc>
        <w:tc>
          <w:tcPr>
            <w:tcW w:w="1451" w:type="dxa"/>
          </w:tcPr>
          <w:p w:rsidR="0024026E" w:rsidRPr="000E7956" w:rsidRDefault="0024026E" w:rsidP="00BF4BF6">
            <w:pPr>
              <w:pStyle w:val="ListParagraph"/>
              <w:ind w:left="0"/>
              <w:rPr>
                <w:sz w:val="20"/>
                <w:szCs w:val="20"/>
              </w:rPr>
            </w:pPr>
            <w:r w:rsidRPr="000E7956">
              <w:rPr>
                <w:sz w:val="20"/>
                <w:szCs w:val="20"/>
              </w:rPr>
              <w:t>Not applicable</w:t>
            </w:r>
          </w:p>
        </w:tc>
      </w:tr>
      <w:tr w:rsidR="0024026E" w:rsidTr="00BF4BF6">
        <w:trPr>
          <w:cantSplit/>
        </w:trPr>
        <w:tc>
          <w:tcPr>
            <w:tcW w:w="0" w:type="auto"/>
          </w:tcPr>
          <w:p w:rsidR="0024026E" w:rsidRPr="000E7956" w:rsidRDefault="0024026E" w:rsidP="0024026E">
            <w:pPr>
              <w:pStyle w:val="ListParagraph"/>
              <w:widowControl/>
              <w:numPr>
                <w:ilvl w:val="0"/>
                <w:numId w:val="5"/>
              </w:numPr>
              <w:autoSpaceDE w:val="0"/>
              <w:autoSpaceDN w:val="0"/>
              <w:adjustRightInd w:val="0"/>
              <w:rPr>
                <w:rFonts w:cs="Arial"/>
                <w:i/>
                <w:sz w:val="20"/>
                <w:szCs w:val="20"/>
              </w:rPr>
            </w:pPr>
            <w:r w:rsidRPr="000E7956">
              <w:rPr>
                <w:rFonts w:cs="Arial"/>
                <w:i/>
                <w:sz w:val="20"/>
                <w:szCs w:val="20"/>
              </w:rPr>
              <w:t>The labelling and advertising of infant formula products should not represent those products as an equivalent to, or better food than, breast milk</w:t>
            </w:r>
          </w:p>
        </w:tc>
        <w:tc>
          <w:tcPr>
            <w:tcW w:w="6167" w:type="dxa"/>
          </w:tcPr>
          <w:p w:rsidR="0024026E" w:rsidRPr="000E7956" w:rsidRDefault="0024026E" w:rsidP="00BF4BF6">
            <w:pPr>
              <w:autoSpaceDE w:val="0"/>
              <w:autoSpaceDN w:val="0"/>
              <w:rPr>
                <w:sz w:val="20"/>
                <w:szCs w:val="20"/>
              </w:rPr>
            </w:pPr>
            <w:r>
              <w:rPr>
                <w:sz w:val="20"/>
                <w:szCs w:val="20"/>
              </w:rPr>
              <w:t>Not applicable</w:t>
            </w:r>
            <w:r w:rsidRPr="000E7956">
              <w:rPr>
                <w:sz w:val="20"/>
                <w:szCs w:val="20"/>
              </w:rPr>
              <w:t xml:space="preserve"> to this </w:t>
            </w:r>
            <w:r w:rsidR="009055AE" w:rsidRPr="000E7956">
              <w:rPr>
                <w:sz w:val="20"/>
                <w:szCs w:val="20"/>
              </w:rPr>
              <w:t>Application</w:t>
            </w:r>
            <w:r w:rsidRPr="000E7956">
              <w:rPr>
                <w:sz w:val="20"/>
                <w:szCs w:val="20"/>
              </w:rPr>
              <w:t>.</w:t>
            </w:r>
          </w:p>
          <w:p w:rsidR="0024026E" w:rsidRPr="000E7956" w:rsidRDefault="0024026E" w:rsidP="00BF4BF6">
            <w:pPr>
              <w:rPr>
                <w:sz w:val="20"/>
                <w:szCs w:val="20"/>
              </w:rPr>
            </w:pPr>
          </w:p>
        </w:tc>
        <w:tc>
          <w:tcPr>
            <w:tcW w:w="1451" w:type="dxa"/>
          </w:tcPr>
          <w:p w:rsidR="0024026E" w:rsidRPr="000E7956" w:rsidRDefault="0024026E" w:rsidP="00BF4BF6">
            <w:pPr>
              <w:pStyle w:val="ListParagraph"/>
              <w:ind w:left="0"/>
              <w:rPr>
                <w:sz w:val="20"/>
                <w:szCs w:val="20"/>
              </w:rPr>
            </w:pPr>
            <w:r w:rsidRPr="000E7956">
              <w:rPr>
                <w:sz w:val="20"/>
                <w:szCs w:val="20"/>
              </w:rPr>
              <w:t>Not applicable</w:t>
            </w:r>
          </w:p>
        </w:tc>
      </w:tr>
      <w:tr w:rsidR="0024026E" w:rsidTr="00BF4BF6">
        <w:trPr>
          <w:cantSplit/>
        </w:trPr>
        <w:tc>
          <w:tcPr>
            <w:tcW w:w="0" w:type="auto"/>
          </w:tcPr>
          <w:p w:rsidR="0024026E" w:rsidRPr="000E7956" w:rsidRDefault="0024026E" w:rsidP="0024026E">
            <w:pPr>
              <w:pStyle w:val="ListParagraph"/>
              <w:widowControl/>
              <w:numPr>
                <w:ilvl w:val="0"/>
                <w:numId w:val="5"/>
              </w:numPr>
              <w:autoSpaceDE w:val="0"/>
              <w:autoSpaceDN w:val="0"/>
              <w:adjustRightInd w:val="0"/>
              <w:rPr>
                <w:rFonts w:cs="Arial"/>
                <w:i/>
                <w:sz w:val="20"/>
                <w:szCs w:val="20"/>
              </w:rPr>
            </w:pPr>
            <w:r w:rsidRPr="000E7956">
              <w:rPr>
                <w:rFonts w:cs="Arial"/>
                <w:i/>
                <w:sz w:val="20"/>
                <w:szCs w:val="20"/>
              </w:rPr>
              <w:t>The labelling and advertising of infant formula products should provide information on the appropriate and safe use of those products</w:t>
            </w:r>
          </w:p>
        </w:tc>
        <w:tc>
          <w:tcPr>
            <w:tcW w:w="6167" w:type="dxa"/>
          </w:tcPr>
          <w:p w:rsidR="0024026E" w:rsidRPr="000E7956" w:rsidRDefault="0024026E" w:rsidP="0024026E">
            <w:pPr>
              <w:rPr>
                <w:sz w:val="20"/>
                <w:szCs w:val="20"/>
              </w:rPr>
            </w:pPr>
            <w:r w:rsidRPr="000E7956">
              <w:rPr>
                <w:sz w:val="20"/>
                <w:szCs w:val="20"/>
              </w:rPr>
              <w:t xml:space="preserve">Not </w:t>
            </w:r>
            <w:r>
              <w:rPr>
                <w:sz w:val="20"/>
                <w:szCs w:val="20"/>
              </w:rPr>
              <w:t>applicable</w:t>
            </w:r>
            <w:r w:rsidRPr="000E7956">
              <w:rPr>
                <w:sz w:val="20"/>
                <w:szCs w:val="20"/>
              </w:rPr>
              <w:t xml:space="preserve"> to this </w:t>
            </w:r>
            <w:r w:rsidR="009055AE" w:rsidRPr="000E7956">
              <w:rPr>
                <w:sz w:val="20"/>
                <w:szCs w:val="20"/>
              </w:rPr>
              <w:t>Application</w:t>
            </w:r>
            <w:r w:rsidRPr="000E7956">
              <w:rPr>
                <w:sz w:val="20"/>
                <w:szCs w:val="20"/>
              </w:rPr>
              <w:t xml:space="preserve">. </w:t>
            </w:r>
          </w:p>
        </w:tc>
        <w:tc>
          <w:tcPr>
            <w:tcW w:w="1451" w:type="dxa"/>
          </w:tcPr>
          <w:p w:rsidR="0024026E" w:rsidRPr="000E7956" w:rsidRDefault="0024026E" w:rsidP="00BF4BF6">
            <w:pPr>
              <w:pStyle w:val="ListParagraph"/>
              <w:ind w:left="0"/>
              <w:rPr>
                <w:sz w:val="20"/>
                <w:szCs w:val="20"/>
              </w:rPr>
            </w:pPr>
            <w:r w:rsidRPr="000E7956">
              <w:rPr>
                <w:sz w:val="20"/>
                <w:szCs w:val="20"/>
              </w:rPr>
              <w:t>Not applicable</w:t>
            </w:r>
          </w:p>
        </w:tc>
      </w:tr>
      <w:tr w:rsidR="0024026E" w:rsidTr="00BF4BF6">
        <w:trPr>
          <w:cantSplit/>
        </w:trPr>
        <w:tc>
          <w:tcPr>
            <w:tcW w:w="0" w:type="auto"/>
          </w:tcPr>
          <w:p w:rsidR="0024026E" w:rsidRPr="000E7956" w:rsidRDefault="0024026E" w:rsidP="0024026E">
            <w:pPr>
              <w:pStyle w:val="ListParagraph"/>
              <w:widowControl/>
              <w:numPr>
                <w:ilvl w:val="0"/>
                <w:numId w:val="5"/>
              </w:numPr>
              <w:autoSpaceDE w:val="0"/>
              <w:autoSpaceDN w:val="0"/>
              <w:adjustRightInd w:val="0"/>
              <w:rPr>
                <w:rFonts w:cs="Arial"/>
                <w:i/>
                <w:sz w:val="20"/>
                <w:szCs w:val="20"/>
              </w:rPr>
            </w:pPr>
            <w:r w:rsidRPr="000E7956">
              <w:rPr>
                <w:rFonts w:cs="Arial"/>
                <w:i/>
                <w:sz w:val="20"/>
                <w:szCs w:val="20"/>
              </w:rPr>
              <w:lastRenderedPageBreak/>
              <w:t xml:space="preserve">The Authority should: </w:t>
            </w:r>
          </w:p>
          <w:p w:rsidR="0024026E" w:rsidRPr="000E7956" w:rsidRDefault="0024026E" w:rsidP="0024026E">
            <w:pPr>
              <w:pStyle w:val="ListParagraph"/>
              <w:widowControl/>
              <w:numPr>
                <w:ilvl w:val="0"/>
                <w:numId w:val="6"/>
              </w:numPr>
              <w:autoSpaceDE w:val="0"/>
              <w:autoSpaceDN w:val="0"/>
              <w:adjustRightInd w:val="0"/>
              <w:ind w:left="851" w:hanging="491"/>
              <w:rPr>
                <w:rFonts w:cs="Arial"/>
                <w:i/>
                <w:sz w:val="20"/>
                <w:szCs w:val="20"/>
              </w:rPr>
            </w:pPr>
            <w:r w:rsidRPr="000E7956">
              <w:rPr>
                <w:rFonts w:cs="Arial"/>
                <w:i/>
                <w:sz w:val="20"/>
                <w:szCs w:val="20"/>
              </w:rPr>
              <w:t>ensure that the prohibitions and restrictions on nutrient content, health, therapeutic, and prophylactic claims in the Food Standards Code are clear and effective for infant formula products; and</w:t>
            </w:r>
          </w:p>
          <w:p w:rsidR="0024026E" w:rsidRPr="000E7956" w:rsidRDefault="0024026E" w:rsidP="0024026E">
            <w:pPr>
              <w:pStyle w:val="ListParagraph"/>
              <w:widowControl/>
              <w:numPr>
                <w:ilvl w:val="0"/>
                <w:numId w:val="6"/>
              </w:numPr>
              <w:autoSpaceDE w:val="0"/>
              <w:autoSpaceDN w:val="0"/>
              <w:adjustRightInd w:val="0"/>
              <w:ind w:left="851" w:hanging="491"/>
              <w:rPr>
                <w:rFonts w:cs="Arial"/>
                <w:i/>
                <w:sz w:val="20"/>
                <w:szCs w:val="20"/>
              </w:rPr>
            </w:pPr>
            <w:proofErr w:type="gramStart"/>
            <w:r w:rsidRPr="000E7956">
              <w:rPr>
                <w:rFonts w:cs="Arial"/>
                <w:i/>
                <w:sz w:val="20"/>
                <w:szCs w:val="20"/>
              </w:rPr>
              <w:t>consider</w:t>
            </w:r>
            <w:proofErr w:type="gramEnd"/>
            <w:r w:rsidRPr="000E7956">
              <w:rPr>
                <w:rFonts w:cs="Arial"/>
                <w:i/>
                <w:sz w:val="20"/>
                <w:szCs w:val="20"/>
              </w:rPr>
              <w:t xml:space="preserve"> whether the current labelling regime is leading to consumers being misled about the quality or effectiveness of an infant formula product.</w:t>
            </w:r>
          </w:p>
        </w:tc>
        <w:tc>
          <w:tcPr>
            <w:tcW w:w="6167" w:type="dxa"/>
          </w:tcPr>
          <w:p w:rsidR="0024026E" w:rsidRPr="000E7956" w:rsidRDefault="00684EC5" w:rsidP="00684EC5">
            <w:pPr>
              <w:rPr>
                <w:sz w:val="20"/>
                <w:szCs w:val="20"/>
              </w:rPr>
            </w:pPr>
            <w:r>
              <w:rPr>
                <w:rFonts w:cs="Arial"/>
                <w:sz w:val="20"/>
                <w:szCs w:val="20"/>
              </w:rPr>
              <w:t xml:space="preserve">The appropriate common, descriptive or generic name of the inulin-type fructans added to the formula </w:t>
            </w:r>
            <w:r w:rsidR="0024026E" w:rsidRPr="000E7956">
              <w:rPr>
                <w:rFonts w:cs="Arial"/>
                <w:sz w:val="20"/>
                <w:szCs w:val="20"/>
              </w:rPr>
              <w:t>must be declared on a label of an infant formula product in the same manner as inulin-derived substances</w:t>
            </w:r>
            <w:r w:rsidR="0024026E" w:rsidRPr="00684EC5">
              <w:rPr>
                <w:rFonts w:cs="Arial"/>
                <w:sz w:val="20"/>
                <w:szCs w:val="20"/>
              </w:rPr>
              <w:t>.</w:t>
            </w:r>
            <w:r w:rsidR="0024026E" w:rsidRPr="000E7956">
              <w:rPr>
                <w:rFonts w:cs="Arial"/>
                <w:sz w:val="20"/>
                <w:szCs w:val="20"/>
              </w:rPr>
              <w:t xml:space="preserve"> The current prohibition on nutrition claims and health claims will also apply to short chain </w:t>
            </w:r>
            <w:proofErr w:type="spellStart"/>
            <w:r w:rsidR="0024026E" w:rsidRPr="000E7956">
              <w:rPr>
                <w:rFonts w:cs="Arial"/>
                <w:sz w:val="20"/>
                <w:szCs w:val="20"/>
              </w:rPr>
              <w:t>FOS</w:t>
            </w:r>
            <w:r w:rsidR="0024026E" w:rsidRPr="000E7956">
              <w:rPr>
                <w:rFonts w:cs="Arial"/>
                <w:sz w:val="20"/>
                <w:szCs w:val="20"/>
                <w:vertAlign w:val="subscript"/>
              </w:rPr>
              <w:t>sucrose</w:t>
            </w:r>
            <w:proofErr w:type="spellEnd"/>
            <w:r w:rsidR="0024026E" w:rsidRPr="000E7956">
              <w:rPr>
                <w:rFonts w:cs="Arial"/>
                <w:sz w:val="20"/>
                <w:szCs w:val="20"/>
              </w:rPr>
              <w:t xml:space="preserve">. </w:t>
            </w:r>
            <w:r w:rsidR="0024026E" w:rsidRPr="000E7956">
              <w:rPr>
                <w:sz w:val="20"/>
                <w:szCs w:val="20"/>
              </w:rPr>
              <w:t xml:space="preserve"> </w:t>
            </w:r>
          </w:p>
        </w:tc>
        <w:tc>
          <w:tcPr>
            <w:tcW w:w="1451" w:type="dxa"/>
          </w:tcPr>
          <w:p w:rsidR="0024026E" w:rsidRDefault="0024026E" w:rsidP="00666E41">
            <w:pPr>
              <w:pStyle w:val="ListParagraph"/>
              <w:ind w:left="0"/>
              <w:rPr>
                <w:sz w:val="20"/>
                <w:szCs w:val="20"/>
              </w:rPr>
            </w:pPr>
            <w:r w:rsidRPr="000E7956">
              <w:rPr>
                <w:sz w:val="20"/>
                <w:szCs w:val="20"/>
              </w:rPr>
              <w:t>Yes</w:t>
            </w:r>
          </w:p>
          <w:p w:rsidR="0024026E" w:rsidRPr="000E7956" w:rsidRDefault="0024026E" w:rsidP="00666E41">
            <w:pPr>
              <w:pStyle w:val="ListParagraph"/>
              <w:ind w:left="0"/>
              <w:rPr>
                <w:sz w:val="20"/>
                <w:szCs w:val="20"/>
              </w:rPr>
            </w:pPr>
          </w:p>
        </w:tc>
      </w:tr>
      <w:tr w:rsidR="0024026E" w:rsidRPr="00841F7D" w:rsidTr="00BF4BF6">
        <w:trPr>
          <w:cantSplit/>
        </w:trPr>
        <w:tc>
          <w:tcPr>
            <w:tcW w:w="0" w:type="auto"/>
          </w:tcPr>
          <w:p w:rsidR="0024026E" w:rsidRPr="000E7956" w:rsidRDefault="0024026E" w:rsidP="00BF4BF6">
            <w:pPr>
              <w:rPr>
                <w:rFonts w:cs="Arial"/>
                <w:b/>
                <w:i/>
                <w:sz w:val="20"/>
                <w:szCs w:val="20"/>
              </w:rPr>
            </w:pPr>
            <w:r w:rsidRPr="000E7956">
              <w:rPr>
                <w:rFonts w:cs="Arial"/>
                <w:b/>
                <w:i/>
                <w:sz w:val="20"/>
                <w:szCs w:val="20"/>
              </w:rPr>
              <w:t>Expert Group</w:t>
            </w:r>
          </w:p>
        </w:tc>
        <w:tc>
          <w:tcPr>
            <w:tcW w:w="6167" w:type="dxa"/>
          </w:tcPr>
          <w:p w:rsidR="0024026E" w:rsidRPr="000E7956" w:rsidRDefault="0024026E" w:rsidP="00BF4BF6">
            <w:pPr>
              <w:rPr>
                <w:b/>
                <w:i/>
                <w:sz w:val="20"/>
                <w:szCs w:val="20"/>
              </w:rPr>
            </w:pPr>
          </w:p>
        </w:tc>
        <w:tc>
          <w:tcPr>
            <w:tcW w:w="1451" w:type="dxa"/>
          </w:tcPr>
          <w:p w:rsidR="0024026E" w:rsidRPr="000E7956" w:rsidRDefault="0024026E" w:rsidP="00666E41">
            <w:pPr>
              <w:pStyle w:val="ListParagraph"/>
              <w:ind w:left="0"/>
              <w:rPr>
                <w:b/>
                <w:i/>
                <w:sz w:val="20"/>
                <w:szCs w:val="20"/>
              </w:rPr>
            </w:pPr>
          </w:p>
        </w:tc>
      </w:tr>
      <w:tr w:rsidR="0024026E" w:rsidTr="00BF4BF6">
        <w:trPr>
          <w:cantSplit/>
        </w:trPr>
        <w:tc>
          <w:tcPr>
            <w:tcW w:w="0" w:type="auto"/>
          </w:tcPr>
          <w:p w:rsidR="0024026E" w:rsidRPr="000E7956" w:rsidRDefault="0024026E" w:rsidP="00BF4BF6">
            <w:pPr>
              <w:autoSpaceDE w:val="0"/>
              <w:autoSpaceDN w:val="0"/>
              <w:adjustRightInd w:val="0"/>
              <w:rPr>
                <w:rFonts w:cs="Arial"/>
                <w:i/>
                <w:sz w:val="20"/>
                <w:szCs w:val="20"/>
              </w:rPr>
            </w:pPr>
            <w:r w:rsidRPr="000E7956">
              <w:rPr>
                <w:rFonts w:cs="Arial"/>
                <w:i/>
                <w:sz w:val="20"/>
                <w:szCs w:val="20"/>
              </w:rPr>
              <w:t xml:space="preserve">FSANZ should consider establishing an independent scientific expert group that may provide advice prior to pre-market assessment, based on scientific criteria established by the Authority, on whether: </w:t>
            </w:r>
          </w:p>
          <w:p w:rsidR="0024026E" w:rsidRPr="000E7956" w:rsidRDefault="0024026E" w:rsidP="0024026E">
            <w:pPr>
              <w:pStyle w:val="ListParagraph"/>
              <w:widowControl/>
              <w:numPr>
                <w:ilvl w:val="0"/>
                <w:numId w:val="7"/>
              </w:numPr>
              <w:autoSpaceDE w:val="0"/>
              <w:autoSpaceDN w:val="0"/>
              <w:adjustRightInd w:val="0"/>
              <w:ind w:left="709" w:hanging="425"/>
              <w:rPr>
                <w:rFonts w:cs="Arial"/>
                <w:i/>
                <w:sz w:val="20"/>
                <w:szCs w:val="20"/>
              </w:rPr>
            </w:pPr>
            <w:r w:rsidRPr="000E7956">
              <w:rPr>
                <w:rFonts w:cs="Arial"/>
                <w:i/>
                <w:sz w:val="20"/>
                <w:szCs w:val="20"/>
              </w:rPr>
              <w:t>a substance proposed to be added to infant formula products has a history of safe use in infant formula or follow-on formula in Australia and New Zealand; and</w:t>
            </w:r>
          </w:p>
          <w:p w:rsidR="0024026E" w:rsidRPr="000E7956" w:rsidRDefault="0024026E" w:rsidP="0024026E">
            <w:pPr>
              <w:pStyle w:val="ListParagraph"/>
              <w:widowControl/>
              <w:numPr>
                <w:ilvl w:val="0"/>
                <w:numId w:val="7"/>
              </w:numPr>
              <w:autoSpaceDE w:val="0"/>
              <w:autoSpaceDN w:val="0"/>
              <w:adjustRightInd w:val="0"/>
              <w:ind w:left="709" w:hanging="425"/>
              <w:rPr>
                <w:rFonts w:cs="Arial"/>
                <w:sz w:val="20"/>
                <w:szCs w:val="20"/>
              </w:rPr>
            </w:pPr>
            <w:proofErr w:type="gramStart"/>
            <w:r w:rsidRPr="000E7956">
              <w:rPr>
                <w:rFonts w:cs="Arial"/>
                <w:i/>
                <w:sz w:val="20"/>
                <w:szCs w:val="20"/>
              </w:rPr>
              <w:t>there</w:t>
            </w:r>
            <w:proofErr w:type="gramEnd"/>
            <w:r w:rsidRPr="000E7956">
              <w:rPr>
                <w:rFonts w:cs="Arial"/>
                <w:i/>
                <w:sz w:val="20"/>
                <w:szCs w:val="20"/>
              </w:rPr>
              <w:t xml:space="preserve"> is evidence available that the substance has a substantiated beneficial role in the normal growth and development of infants or children.</w:t>
            </w:r>
          </w:p>
        </w:tc>
        <w:tc>
          <w:tcPr>
            <w:tcW w:w="6167" w:type="dxa"/>
          </w:tcPr>
          <w:p w:rsidR="0024026E" w:rsidRPr="000E7956" w:rsidRDefault="0024026E" w:rsidP="00BF4BF6">
            <w:pPr>
              <w:rPr>
                <w:sz w:val="20"/>
                <w:szCs w:val="20"/>
              </w:rPr>
            </w:pPr>
            <w:r w:rsidRPr="000E7956">
              <w:rPr>
                <w:sz w:val="20"/>
                <w:szCs w:val="20"/>
              </w:rPr>
              <w:t xml:space="preserve">FSANZ has sought advice from </w:t>
            </w:r>
            <w:r>
              <w:rPr>
                <w:sz w:val="20"/>
                <w:szCs w:val="20"/>
              </w:rPr>
              <w:t>its</w:t>
            </w:r>
            <w:r w:rsidRPr="000E7956">
              <w:rPr>
                <w:sz w:val="20"/>
                <w:szCs w:val="20"/>
              </w:rPr>
              <w:t xml:space="preserve"> independent Infant and Child Health Scientific Advisory Group on the risk assessment. </w:t>
            </w:r>
          </w:p>
          <w:p w:rsidR="0024026E" w:rsidRPr="000E7956" w:rsidRDefault="0024026E" w:rsidP="00BF4BF6">
            <w:pPr>
              <w:rPr>
                <w:sz w:val="20"/>
                <w:szCs w:val="20"/>
              </w:rPr>
            </w:pPr>
          </w:p>
        </w:tc>
        <w:tc>
          <w:tcPr>
            <w:tcW w:w="1451" w:type="dxa"/>
          </w:tcPr>
          <w:p w:rsidR="0024026E" w:rsidRDefault="0024026E" w:rsidP="00666E41">
            <w:pPr>
              <w:pStyle w:val="ListParagraph"/>
              <w:ind w:left="0"/>
              <w:rPr>
                <w:sz w:val="20"/>
                <w:szCs w:val="20"/>
              </w:rPr>
            </w:pPr>
            <w:r w:rsidRPr="000E7956">
              <w:rPr>
                <w:sz w:val="20"/>
                <w:szCs w:val="20"/>
              </w:rPr>
              <w:t>Yes</w:t>
            </w:r>
          </w:p>
          <w:p w:rsidR="0024026E" w:rsidRPr="000E7956" w:rsidRDefault="0024026E" w:rsidP="00666E41">
            <w:pPr>
              <w:pStyle w:val="ListParagraph"/>
              <w:ind w:left="0"/>
              <w:rPr>
                <w:sz w:val="20"/>
                <w:szCs w:val="20"/>
              </w:rPr>
            </w:pPr>
          </w:p>
        </w:tc>
      </w:tr>
      <w:tr w:rsidR="0024026E" w:rsidRPr="00841F7D" w:rsidTr="00BF4BF6">
        <w:trPr>
          <w:cantSplit/>
        </w:trPr>
        <w:tc>
          <w:tcPr>
            <w:tcW w:w="0" w:type="auto"/>
          </w:tcPr>
          <w:p w:rsidR="0024026E" w:rsidRPr="000E7956" w:rsidRDefault="0024026E" w:rsidP="00BF4BF6">
            <w:pPr>
              <w:autoSpaceDE w:val="0"/>
              <w:autoSpaceDN w:val="0"/>
              <w:adjustRightInd w:val="0"/>
              <w:rPr>
                <w:rFonts w:cs="Arial"/>
                <w:b/>
                <w:i/>
                <w:iCs/>
                <w:sz w:val="20"/>
                <w:szCs w:val="20"/>
              </w:rPr>
            </w:pPr>
            <w:r w:rsidRPr="000E7956">
              <w:rPr>
                <w:rFonts w:cs="Arial"/>
                <w:b/>
                <w:i/>
                <w:iCs/>
                <w:sz w:val="20"/>
                <w:szCs w:val="20"/>
              </w:rPr>
              <w:t>Relevant international agreements</w:t>
            </w:r>
          </w:p>
        </w:tc>
        <w:tc>
          <w:tcPr>
            <w:tcW w:w="6167" w:type="dxa"/>
          </w:tcPr>
          <w:p w:rsidR="0024026E" w:rsidRPr="000E7956" w:rsidRDefault="0024026E" w:rsidP="00BF4BF6">
            <w:pPr>
              <w:rPr>
                <w:b/>
                <w:sz w:val="20"/>
                <w:szCs w:val="20"/>
              </w:rPr>
            </w:pPr>
          </w:p>
        </w:tc>
        <w:tc>
          <w:tcPr>
            <w:tcW w:w="1451" w:type="dxa"/>
          </w:tcPr>
          <w:p w:rsidR="0024026E" w:rsidRPr="000E7956" w:rsidRDefault="0024026E" w:rsidP="00666E41">
            <w:pPr>
              <w:pStyle w:val="ListParagraph"/>
              <w:ind w:left="0"/>
              <w:rPr>
                <w:b/>
                <w:sz w:val="20"/>
                <w:szCs w:val="20"/>
              </w:rPr>
            </w:pPr>
          </w:p>
        </w:tc>
      </w:tr>
      <w:tr w:rsidR="0024026E" w:rsidTr="00BF4BF6">
        <w:trPr>
          <w:cantSplit/>
        </w:trPr>
        <w:tc>
          <w:tcPr>
            <w:tcW w:w="0" w:type="auto"/>
          </w:tcPr>
          <w:p w:rsidR="0024026E" w:rsidRPr="000E7956" w:rsidRDefault="0024026E" w:rsidP="00BF4BF6">
            <w:pPr>
              <w:autoSpaceDE w:val="0"/>
              <w:autoSpaceDN w:val="0"/>
              <w:adjustRightInd w:val="0"/>
              <w:rPr>
                <w:rFonts w:cs="Arial"/>
                <w:i/>
                <w:sz w:val="20"/>
                <w:szCs w:val="20"/>
              </w:rPr>
            </w:pPr>
            <w:r w:rsidRPr="000E7956">
              <w:rPr>
                <w:rFonts w:cs="Arial"/>
                <w:i/>
                <w:sz w:val="20"/>
                <w:szCs w:val="20"/>
              </w:rPr>
              <w:t>The regulation of infant formula products in Australia and New Zealand should be consistent</w:t>
            </w:r>
          </w:p>
          <w:p w:rsidR="0024026E" w:rsidRPr="000E7956" w:rsidRDefault="0024026E" w:rsidP="00BF4BF6">
            <w:pPr>
              <w:autoSpaceDE w:val="0"/>
              <w:autoSpaceDN w:val="0"/>
              <w:adjustRightInd w:val="0"/>
              <w:rPr>
                <w:rFonts w:cs="Arial"/>
                <w:i/>
                <w:sz w:val="20"/>
                <w:szCs w:val="20"/>
              </w:rPr>
            </w:pPr>
            <w:r w:rsidRPr="000E7956">
              <w:rPr>
                <w:rFonts w:cs="Arial"/>
                <w:i/>
                <w:sz w:val="20"/>
                <w:szCs w:val="20"/>
              </w:rPr>
              <w:t>to the greatest extent possible with:</w:t>
            </w:r>
          </w:p>
          <w:p w:rsidR="0024026E" w:rsidRPr="000E7956" w:rsidRDefault="0024026E" w:rsidP="0024026E">
            <w:pPr>
              <w:pStyle w:val="ListParagraph"/>
              <w:widowControl/>
              <w:numPr>
                <w:ilvl w:val="0"/>
                <w:numId w:val="8"/>
              </w:numPr>
              <w:autoSpaceDE w:val="0"/>
              <w:autoSpaceDN w:val="0"/>
              <w:adjustRightInd w:val="0"/>
              <w:rPr>
                <w:rFonts w:cs="Arial"/>
                <w:i/>
                <w:sz w:val="20"/>
                <w:szCs w:val="20"/>
              </w:rPr>
            </w:pPr>
            <w:r w:rsidRPr="000E7956">
              <w:rPr>
                <w:rFonts w:cs="Arial"/>
                <w:i/>
                <w:sz w:val="20"/>
                <w:szCs w:val="20"/>
              </w:rPr>
              <w:t>relevant World Health Organization agreements; and</w:t>
            </w:r>
          </w:p>
          <w:p w:rsidR="0024026E" w:rsidRPr="000E7956" w:rsidRDefault="0024026E" w:rsidP="0024026E">
            <w:pPr>
              <w:pStyle w:val="ListParagraph"/>
              <w:widowControl/>
              <w:numPr>
                <w:ilvl w:val="0"/>
                <w:numId w:val="8"/>
              </w:numPr>
              <w:rPr>
                <w:rFonts w:cs="Arial"/>
                <w:sz w:val="20"/>
                <w:szCs w:val="20"/>
              </w:rPr>
            </w:pPr>
            <w:r w:rsidRPr="000E7956">
              <w:rPr>
                <w:rFonts w:cs="Arial"/>
                <w:i/>
                <w:sz w:val="20"/>
                <w:szCs w:val="20"/>
              </w:rPr>
              <w:t>relevant World Trade Organization agreements, Codex standards and guidelines</w:t>
            </w:r>
          </w:p>
        </w:tc>
        <w:tc>
          <w:tcPr>
            <w:tcW w:w="6167" w:type="dxa"/>
          </w:tcPr>
          <w:p w:rsidR="0024026E" w:rsidRPr="000E7956" w:rsidRDefault="0024026E">
            <w:pPr>
              <w:rPr>
                <w:sz w:val="20"/>
                <w:szCs w:val="20"/>
              </w:rPr>
            </w:pPr>
            <w:r w:rsidRPr="000E7956">
              <w:rPr>
                <w:sz w:val="20"/>
                <w:szCs w:val="20"/>
              </w:rPr>
              <w:t xml:space="preserve">FSANZ has taken account of the relevant World Trade Organization agreements, Codex standards and guidelines. </w:t>
            </w:r>
            <w:r w:rsidRPr="000E7956">
              <w:rPr>
                <w:rFonts w:cs="Arial"/>
                <w:sz w:val="20"/>
                <w:szCs w:val="20"/>
                <w:lang w:val="en-AU"/>
              </w:rPr>
              <w:t xml:space="preserve">Short chain </w:t>
            </w:r>
            <w:proofErr w:type="spellStart"/>
            <w:r w:rsidRPr="000E7956">
              <w:rPr>
                <w:rFonts w:cs="Arial"/>
                <w:sz w:val="20"/>
                <w:szCs w:val="20"/>
                <w:lang w:val="en-AU"/>
              </w:rPr>
              <w:t>FOS</w:t>
            </w:r>
            <w:r w:rsidRPr="000E7956">
              <w:rPr>
                <w:rFonts w:cs="Arial"/>
                <w:sz w:val="20"/>
                <w:szCs w:val="20"/>
                <w:vertAlign w:val="subscript"/>
                <w:lang w:val="en-AU"/>
              </w:rPr>
              <w:t>sucrose</w:t>
            </w:r>
            <w:proofErr w:type="spellEnd"/>
            <w:r w:rsidRPr="000E7956">
              <w:rPr>
                <w:rFonts w:cs="Arial"/>
                <w:sz w:val="20"/>
                <w:szCs w:val="20"/>
                <w:lang w:val="en-AU"/>
              </w:rPr>
              <w:t xml:space="preserve"> is permitted and used in some infant formula products</w:t>
            </w:r>
            <w:r w:rsidR="00BF4BF6">
              <w:rPr>
                <w:rFonts w:cs="Arial"/>
                <w:sz w:val="20"/>
                <w:szCs w:val="20"/>
                <w:lang w:val="en-AU"/>
              </w:rPr>
              <w:t xml:space="preserve"> sold overseas</w:t>
            </w:r>
            <w:r w:rsidRPr="000E7956">
              <w:rPr>
                <w:rFonts w:cs="Arial"/>
                <w:sz w:val="20"/>
                <w:szCs w:val="20"/>
                <w:lang w:val="en-AU"/>
              </w:rPr>
              <w:t>.</w:t>
            </w:r>
          </w:p>
        </w:tc>
        <w:tc>
          <w:tcPr>
            <w:tcW w:w="1451" w:type="dxa"/>
          </w:tcPr>
          <w:p w:rsidR="0024026E" w:rsidRDefault="0024026E" w:rsidP="00666E41">
            <w:pPr>
              <w:pStyle w:val="ListParagraph"/>
              <w:ind w:left="0"/>
              <w:rPr>
                <w:sz w:val="20"/>
                <w:szCs w:val="20"/>
              </w:rPr>
            </w:pPr>
            <w:r w:rsidRPr="000E7956">
              <w:rPr>
                <w:sz w:val="20"/>
                <w:szCs w:val="20"/>
              </w:rPr>
              <w:t>Yes</w:t>
            </w:r>
          </w:p>
          <w:p w:rsidR="0024026E" w:rsidRPr="000E7956" w:rsidRDefault="0024026E" w:rsidP="00666E41">
            <w:pPr>
              <w:pStyle w:val="ListParagraph"/>
              <w:ind w:left="0"/>
              <w:rPr>
                <w:sz w:val="20"/>
                <w:szCs w:val="20"/>
              </w:rPr>
            </w:pPr>
          </w:p>
        </w:tc>
      </w:tr>
    </w:tbl>
    <w:p w:rsidR="0024026E" w:rsidRDefault="0024026E" w:rsidP="0024026E">
      <w:pPr>
        <w:rPr>
          <w:rFonts w:cs="Arial"/>
        </w:rPr>
      </w:pPr>
    </w:p>
    <w:p w:rsidR="00D60568" w:rsidRPr="00E203C2" w:rsidRDefault="00D60568" w:rsidP="00690206"/>
    <w:sectPr w:rsidR="00D60568" w:rsidRPr="00E203C2" w:rsidSect="002062BB">
      <w:headerReference w:type="default" r:id="rId10"/>
      <w:footerReference w:type="even" r:id="rId11"/>
      <w:footerReference w:type="default" r:id="rId12"/>
      <w:headerReference w:type="first" r:id="rId13"/>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BF6" w:rsidRDefault="00BF4BF6">
      <w:r>
        <w:separator/>
      </w:r>
    </w:p>
  </w:endnote>
  <w:endnote w:type="continuationSeparator" w:id="0">
    <w:p w:rsidR="00BF4BF6" w:rsidRDefault="00BF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6" w:rsidRDefault="00BF4BF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4BF6" w:rsidRDefault="00BF4B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6" w:rsidRDefault="00BF4BF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43D6">
      <w:rPr>
        <w:rStyle w:val="PageNumber"/>
        <w:noProof/>
      </w:rPr>
      <w:t>2</w:t>
    </w:r>
    <w:r>
      <w:rPr>
        <w:rStyle w:val="PageNumber"/>
      </w:rPr>
      <w:fldChar w:fldCharType="end"/>
    </w:r>
  </w:p>
  <w:p w:rsidR="00BF4BF6" w:rsidRDefault="00BF4BF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BF6" w:rsidRDefault="00BF4BF6">
      <w:r>
        <w:separator/>
      </w:r>
    </w:p>
  </w:footnote>
  <w:footnote w:type="continuationSeparator" w:id="0">
    <w:p w:rsidR="00BF4BF6" w:rsidRDefault="00BF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6" w:rsidRDefault="00BF4BF6">
    <w:pPr>
      <w:pStyle w:val="Header"/>
      <w:jc w:val="cente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6" w:rsidRDefault="00BF4BF6">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D0E4C7A"/>
    <w:multiLevelType w:val="hybridMultilevel"/>
    <w:tmpl w:val="665C606C"/>
    <w:lvl w:ilvl="0" w:tplc="39CA8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DA7352E"/>
    <w:multiLevelType w:val="hybridMultilevel"/>
    <w:tmpl w:val="E1E6B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5AD61F07"/>
    <w:multiLevelType w:val="hybridMultilevel"/>
    <w:tmpl w:val="457C1E98"/>
    <w:lvl w:ilvl="0" w:tplc="0C090017">
      <w:start w:val="1"/>
      <w:numFmt w:val="lowerLetter"/>
      <w:lvlText w:val="%1)"/>
      <w:lvlJc w:val="left"/>
      <w:pPr>
        <w:ind w:left="360" w:hanging="360"/>
      </w:pPr>
      <w:rPr>
        <w:rFonts w:hint="default"/>
      </w:rPr>
    </w:lvl>
    <w:lvl w:ilvl="1" w:tplc="0D4EC234">
      <w:start w:val="1"/>
      <w:numFmt w:val="lowerRoman"/>
      <w:lvlText w:val="%2."/>
      <w:lvlJc w:val="left"/>
      <w:pPr>
        <w:ind w:left="1080" w:hanging="360"/>
      </w:pPr>
      <w:rPr>
        <w:rFonts w:ascii="Arial" w:eastAsiaTheme="minorHAnsi" w:hAnsi="Arial" w:cstheme="minorBidi"/>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1B04E67"/>
    <w:multiLevelType w:val="hybridMultilevel"/>
    <w:tmpl w:val="3ED8361E"/>
    <w:lvl w:ilvl="0" w:tplc="1E726C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6"/>
  </w:num>
  <w:num w:numId="6">
    <w:abstractNumId w:val="2"/>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162D"/>
    <w:rsid w:val="00035FF3"/>
    <w:rsid w:val="00051021"/>
    <w:rsid w:val="00051ED9"/>
    <w:rsid w:val="00057181"/>
    <w:rsid w:val="0006473A"/>
    <w:rsid w:val="00064B2D"/>
    <w:rsid w:val="00065F1F"/>
    <w:rsid w:val="00076D33"/>
    <w:rsid w:val="00092CDA"/>
    <w:rsid w:val="000A27E9"/>
    <w:rsid w:val="000A3D8B"/>
    <w:rsid w:val="000A5DF8"/>
    <w:rsid w:val="000B6AF2"/>
    <w:rsid w:val="000D6FD4"/>
    <w:rsid w:val="000E0AE4"/>
    <w:rsid w:val="000E3DBC"/>
    <w:rsid w:val="00113CE3"/>
    <w:rsid w:val="00117522"/>
    <w:rsid w:val="001221D4"/>
    <w:rsid w:val="001542D8"/>
    <w:rsid w:val="00180C41"/>
    <w:rsid w:val="00182C4C"/>
    <w:rsid w:val="00186609"/>
    <w:rsid w:val="00197D8D"/>
    <w:rsid w:val="001A1A75"/>
    <w:rsid w:val="001A7E9A"/>
    <w:rsid w:val="001C27A3"/>
    <w:rsid w:val="001C5295"/>
    <w:rsid w:val="001E09FA"/>
    <w:rsid w:val="00203540"/>
    <w:rsid w:val="002062BB"/>
    <w:rsid w:val="0021612B"/>
    <w:rsid w:val="0022083A"/>
    <w:rsid w:val="00221D07"/>
    <w:rsid w:val="00227E4A"/>
    <w:rsid w:val="0024026E"/>
    <w:rsid w:val="0024582E"/>
    <w:rsid w:val="00245C56"/>
    <w:rsid w:val="002547EF"/>
    <w:rsid w:val="00256D65"/>
    <w:rsid w:val="00261EA0"/>
    <w:rsid w:val="00271512"/>
    <w:rsid w:val="00271F00"/>
    <w:rsid w:val="00273A80"/>
    <w:rsid w:val="002779A6"/>
    <w:rsid w:val="0029204E"/>
    <w:rsid w:val="0029631C"/>
    <w:rsid w:val="002A0194"/>
    <w:rsid w:val="002A5F8B"/>
    <w:rsid w:val="002A7F6C"/>
    <w:rsid w:val="002D6809"/>
    <w:rsid w:val="002F6488"/>
    <w:rsid w:val="00306F2F"/>
    <w:rsid w:val="00320839"/>
    <w:rsid w:val="003213F9"/>
    <w:rsid w:val="00323DBF"/>
    <w:rsid w:val="003309A8"/>
    <w:rsid w:val="00332B12"/>
    <w:rsid w:val="00351B07"/>
    <w:rsid w:val="00352CF2"/>
    <w:rsid w:val="00364841"/>
    <w:rsid w:val="00371B29"/>
    <w:rsid w:val="0037656B"/>
    <w:rsid w:val="00391769"/>
    <w:rsid w:val="003953E1"/>
    <w:rsid w:val="003956B3"/>
    <w:rsid w:val="003A68BE"/>
    <w:rsid w:val="003B1805"/>
    <w:rsid w:val="003B3C9D"/>
    <w:rsid w:val="003B78E0"/>
    <w:rsid w:val="003C4969"/>
    <w:rsid w:val="003E41D5"/>
    <w:rsid w:val="003E46BA"/>
    <w:rsid w:val="003E4BDD"/>
    <w:rsid w:val="003E7D22"/>
    <w:rsid w:val="003F74C1"/>
    <w:rsid w:val="00405B1A"/>
    <w:rsid w:val="00410C76"/>
    <w:rsid w:val="00411907"/>
    <w:rsid w:val="00413CA8"/>
    <w:rsid w:val="00417EE3"/>
    <w:rsid w:val="004207EB"/>
    <w:rsid w:val="00437276"/>
    <w:rsid w:val="00456B54"/>
    <w:rsid w:val="00464643"/>
    <w:rsid w:val="00486793"/>
    <w:rsid w:val="004A2037"/>
    <w:rsid w:val="004C2CE7"/>
    <w:rsid w:val="004E259B"/>
    <w:rsid w:val="004F4F98"/>
    <w:rsid w:val="004F69F6"/>
    <w:rsid w:val="004F79AC"/>
    <w:rsid w:val="005017CF"/>
    <w:rsid w:val="005207D8"/>
    <w:rsid w:val="0053464E"/>
    <w:rsid w:val="00562917"/>
    <w:rsid w:val="00586228"/>
    <w:rsid w:val="0059316C"/>
    <w:rsid w:val="005A1D97"/>
    <w:rsid w:val="005B6AF4"/>
    <w:rsid w:val="005B7A73"/>
    <w:rsid w:val="005C04CB"/>
    <w:rsid w:val="005D16AD"/>
    <w:rsid w:val="005D72E1"/>
    <w:rsid w:val="005E6E16"/>
    <w:rsid w:val="005F400E"/>
    <w:rsid w:val="005F7342"/>
    <w:rsid w:val="00603A08"/>
    <w:rsid w:val="00610A3C"/>
    <w:rsid w:val="00627F48"/>
    <w:rsid w:val="00630C23"/>
    <w:rsid w:val="00645815"/>
    <w:rsid w:val="006460AB"/>
    <w:rsid w:val="00663FCF"/>
    <w:rsid w:val="006652A2"/>
    <w:rsid w:val="00666E41"/>
    <w:rsid w:val="00684EC5"/>
    <w:rsid w:val="00690206"/>
    <w:rsid w:val="006937FF"/>
    <w:rsid w:val="006A48A7"/>
    <w:rsid w:val="006B4BA1"/>
    <w:rsid w:val="006B5EBE"/>
    <w:rsid w:val="006C5CF5"/>
    <w:rsid w:val="006F4A82"/>
    <w:rsid w:val="0070373B"/>
    <w:rsid w:val="00722827"/>
    <w:rsid w:val="00724FA4"/>
    <w:rsid w:val="00730800"/>
    <w:rsid w:val="007602AA"/>
    <w:rsid w:val="007652EF"/>
    <w:rsid w:val="00772BDC"/>
    <w:rsid w:val="00780792"/>
    <w:rsid w:val="007A44B4"/>
    <w:rsid w:val="007A7D3D"/>
    <w:rsid w:val="007B225D"/>
    <w:rsid w:val="007C174F"/>
    <w:rsid w:val="007C1C64"/>
    <w:rsid w:val="007E48BC"/>
    <w:rsid w:val="007E79F7"/>
    <w:rsid w:val="007F3630"/>
    <w:rsid w:val="008065F5"/>
    <w:rsid w:val="00807559"/>
    <w:rsid w:val="008450BC"/>
    <w:rsid w:val="0085334B"/>
    <w:rsid w:val="00870214"/>
    <w:rsid w:val="00885C51"/>
    <w:rsid w:val="00885EB0"/>
    <w:rsid w:val="00890482"/>
    <w:rsid w:val="00891F4B"/>
    <w:rsid w:val="0089264A"/>
    <w:rsid w:val="00896B85"/>
    <w:rsid w:val="008A22BE"/>
    <w:rsid w:val="008C1B36"/>
    <w:rsid w:val="008D06C6"/>
    <w:rsid w:val="008E6250"/>
    <w:rsid w:val="00902AF6"/>
    <w:rsid w:val="009055AE"/>
    <w:rsid w:val="00920249"/>
    <w:rsid w:val="00924C80"/>
    <w:rsid w:val="00932F14"/>
    <w:rsid w:val="0094247F"/>
    <w:rsid w:val="00942D60"/>
    <w:rsid w:val="0096523B"/>
    <w:rsid w:val="00966EE3"/>
    <w:rsid w:val="00972D06"/>
    <w:rsid w:val="009A391C"/>
    <w:rsid w:val="009A50F2"/>
    <w:rsid w:val="009E0A61"/>
    <w:rsid w:val="009E3010"/>
    <w:rsid w:val="009F007E"/>
    <w:rsid w:val="009F7065"/>
    <w:rsid w:val="00A4175D"/>
    <w:rsid w:val="00A56DC7"/>
    <w:rsid w:val="00A72516"/>
    <w:rsid w:val="00A74FD1"/>
    <w:rsid w:val="00A84A58"/>
    <w:rsid w:val="00AF06FC"/>
    <w:rsid w:val="00AF3391"/>
    <w:rsid w:val="00AF387F"/>
    <w:rsid w:val="00B00E7F"/>
    <w:rsid w:val="00B12F1E"/>
    <w:rsid w:val="00B143D6"/>
    <w:rsid w:val="00B173DA"/>
    <w:rsid w:val="00B21DCC"/>
    <w:rsid w:val="00B25F37"/>
    <w:rsid w:val="00B37BF0"/>
    <w:rsid w:val="00B44422"/>
    <w:rsid w:val="00B46EA0"/>
    <w:rsid w:val="00B731D3"/>
    <w:rsid w:val="00B839A3"/>
    <w:rsid w:val="00B902BD"/>
    <w:rsid w:val="00BA24E2"/>
    <w:rsid w:val="00BD2A39"/>
    <w:rsid w:val="00BD2E80"/>
    <w:rsid w:val="00BE11B8"/>
    <w:rsid w:val="00BF4BF6"/>
    <w:rsid w:val="00BF7FF0"/>
    <w:rsid w:val="00C057F4"/>
    <w:rsid w:val="00C12502"/>
    <w:rsid w:val="00C36578"/>
    <w:rsid w:val="00C40AA5"/>
    <w:rsid w:val="00C453FB"/>
    <w:rsid w:val="00C46F70"/>
    <w:rsid w:val="00C471EA"/>
    <w:rsid w:val="00C476D0"/>
    <w:rsid w:val="00C61AC1"/>
    <w:rsid w:val="00C836E3"/>
    <w:rsid w:val="00C86577"/>
    <w:rsid w:val="00C92E07"/>
    <w:rsid w:val="00C96868"/>
    <w:rsid w:val="00CA0416"/>
    <w:rsid w:val="00CA24DC"/>
    <w:rsid w:val="00CC560B"/>
    <w:rsid w:val="00CC75E2"/>
    <w:rsid w:val="00CD46EB"/>
    <w:rsid w:val="00CD7EBF"/>
    <w:rsid w:val="00D056F1"/>
    <w:rsid w:val="00D11171"/>
    <w:rsid w:val="00D22F3C"/>
    <w:rsid w:val="00D23DB6"/>
    <w:rsid w:val="00D320EC"/>
    <w:rsid w:val="00D43FE6"/>
    <w:rsid w:val="00D51A95"/>
    <w:rsid w:val="00D60568"/>
    <w:rsid w:val="00D70C7A"/>
    <w:rsid w:val="00D81D38"/>
    <w:rsid w:val="00DA10A8"/>
    <w:rsid w:val="00DB1E08"/>
    <w:rsid w:val="00DB2973"/>
    <w:rsid w:val="00DC1B56"/>
    <w:rsid w:val="00DC2129"/>
    <w:rsid w:val="00DC6570"/>
    <w:rsid w:val="00DD3C5E"/>
    <w:rsid w:val="00DF25A5"/>
    <w:rsid w:val="00DF25C3"/>
    <w:rsid w:val="00E04062"/>
    <w:rsid w:val="00E063C6"/>
    <w:rsid w:val="00E066BA"/>
    <w:rsid w:val="00E2003B"/>
    <w:rsid w:val="00E203C2"/>
    <w:rsid w:val="00E279D8"/>
    <w:rsid w:val="00E319B1"/>
    <w:rsid w:val="00E44E0D"/>
    <w:rsid w:val="00E5492F"/>
    <w:rsid w:val="00E62DEF"/>
    <w:rsid w:val="00E70A86"/>
    <w:rsid w:val="00E777EC"/>
    <w:rsid w:val="00E80FCD"/>
    <w:rsid w:val="00EA7F2F"/>
    <w:rsid w:val="00EC00DE"/>
    <w:rsid w:val="00EC30E1"/>
    <w:rsid w:val="00ED172A"/>
    <w:rsid w:val="00F11F6C"/>
    <w:rsid w:val="00F14BEC"/>
    <w:rsid w:val="00F225C5"/>
    <w:rsid w:val="00F2587A"/>
    <w:rsid w:val="00F3111D"/>
    <w:rsid w:val="00F3715D"/>
    <w:rsid w:val="00F420C8"/>
    <w:rsid w:val="00F42A4C"/>
    <w:rsid w:val="00F604DE"/>
    <w:rsid w:val="00FB7512"/>
    <w:rsid w:val="00FD7547"/>
    <w:rsid w:val="00FE2F00"/>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40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40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7DB7BF-1932-4A97-8DAA-8AB49D876D8A}"/>
</file>

<file path=customXml/itemProps2.xml><?xml version="1.0" encoding="utf-8"?>
<ds:datastoreItem xmlns:ds="http://schemas.openxmlformats.org/officeDocument/2006/customXml" ds:itemID="{25F7C4FD-5A22-4BE5-8F99-812D03F04FE8}"/>
</file>

<file path=customXml/itemProps3.xml><?xml version="1.0" encoding="utf-8"?>
<ds:datastoreItem xmlns:ds="http://schemas.openxmlformats.org/officeDocument/2006/customXml" ds:itemID="{8E0078A4-3C09-4BF6-BD0B-21A9C9B55266}"/>
</file>

<file path=customXml/itemProps4.xml><?xml version="1.0" encoding="utf-8"?>
<ds:datastoreItem xmlns:ds="http://schemas.openxmlformats.org/officeDocument/2006/customXml" ds:itemID="{A66CB471-DDEA-48E7-96FB-B813FE016C4D}"/>
</file>

<file path=docProps/app.xml><?xml version="1.0" encoding="utf-8"?>
<Properties xmlns="http://schemas.openxmlformats.org/officeDocument/2006/extended-properties" xmlns:vt="http://schemas.openxmlformats.org/officeDocument/2006/docPropsVTypes">
  <Template>Normal</Template>
  <TotalTime>115</TotalTime>
  <Pages>5</Pages>
  <Words>1392</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9317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A1055_AppR_SD2</dc:title>
  <dc:creator>crawlk</dc:creator>
  <cp:lastModifiedBy>crawlk</cp:lastModifiedBy>
  <cp:revision>23</cp:revision>
  <cp:lastPrinted>2013-04-09T02:09:00Z</cp:lastPrinted>
  <dcterms:created xsi:type="dcterms:W3CDTF">2013-03-19T03:52:00Z</dcterms:created>
  <dcterms:modified xsi:type="dcterms:W3CDTF">2013-05-14T02:39:00Z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